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9E8E" w14:textId="77777777" w:rsidR="00013888" w:rsidRPr="006B64B6" w:rsidRDefault="00013888" w:rsidP="006B64B6">
      <w:pPr>
        <w:spacing w:before="100" w:beforeAutospacing="1" w:after="100" w:afterAutospacing="1" w:line="240" w:lineRule="auto"/>
        <w:jc w:val="center"/>
        <w:rPr>
          <w:rFonts w:ascii="Times New Roman" w:eastAsia="Times New Roman" w:hAnsi="Times New Roman" w:cs="Times New Roman"/>
          <w:sz w:val="28"/>
          <w:szCs w:val="28"/>
          <w:lang w:val="en-US" w:eastAsia="ru-RU"/>
        </w:rPr>
      </w:pPr>
      <w:r w:rsidRPr="006B64B6">
        <w:rPr>
          <w:rFonts w:ascii="Times New Roman" w:eastAsia="Times New Roman" w:hAnsi="Times New Roman" w:cs="Times New Roman"/>
          <w:b/>
          <w:bCs/>
          <w:sz w:val="28"/>
          <w:szCs w:val="28"/>
          <w:lang w:val="en-US" w:eastAsia="ru-RU"/>
        </w:rPr>
        <w:t>Expert and Analytical Assessment of the Digital Transformation of the Tax System of the Republic of Uzbekistan</w:t>
      </w:r>
    </w:p>
    <w:p w14:paraId="3BA5A9DE" w14:textId="72E5E5D9" w:rsidR="009870F9" w:rsidRPr="009870F9" w:rsidRDefault="009870F9" w:rsidP="00544828">
      <w:pPr>
        <w:spacing w:before="100" w:beforeAutospacing="1" w:after="100" w:afterAutospacing="1" w:line="240" w:lineRule="auto"/>
        <w:jc w:val="center"/>
        <w:rPr>
          <w:rFonts w:ascii="Times New Roman" w:eastAsia="Times New Roman" w:hAnsi="Times New Roman" w:cs="Times New Roman"/>
          <w:sz w:val="24"/>
          <w:szCs w:val="24"/>
          <w:lang w:val="en-US" w:eastAsia="ru-RU"/>
        </w:rPr>
      </w:pPr>
      <w:proofErr w:type="spellStart"/>
      <w:r w:rsidRPr="009870F9">
        <w:rPr>
          <w:rFonts w:ascii="Times New Roman" w:eastAsia="Times New Roman" w:hAnsi="Times New Roman" w:cs="Times New Roman"/>
          <w:b/>
          <w:bCs/>
          <w:sz w:val="24"/>
          <w:szCs w:val="24"/>
          <w:lang w:val="en-US" w:eastAsia="ru-RU"/>
        </w:rPr>
        <w:t>Achilov</w:t>
      </w:r>
      <w:proofErr w:type="spellEnd"/>
      <w:r w:rsidRPr="009870F9">
        <w:rPr>
          <w:rFonts w:ascii="Times New Roman" w:eastAsia="Times New Roman" w:hAnsi="Times New Roman" w:cs="Times New Roman"/>
          <w:b/>
          <w:bCs/>
          <w:sz w:val="24"/>
          <w:szCs w:val="24"/>
          <w:lang w:val="en-US" w:eastAsia="ru-RU"/>
        </w:rPr>
        <w:t xml:space="preserve"> </w:t>
      </w:r>
      <w:proofErr w:type="spellStart"/>
      <w:r w:rsidRPr="009870F9">
        <w:rPr>
          <w:rFonts w:ascii="Times New Roman" w:eastAsia="Times New Roman" w:hAnsi="Times New Roman" w:cs="Times New Roman"/>
          <w:b/>
          <w:bCs/>
          <w:sz w:val="24"/>
          <w:szCs w:val="24"/>
          <w:lang w:val="en-US" w:eastAsia="ru-RU"/>
        </w:rPr>
        <w:t>Salokhiddin</w:t>
      </w:r>
      <w:proofErr w:type="spellEnd"/>
      <w:r w:rsidRPr="009870F9">
        <w:rPr>
          <w:rFonts w:ascii="Times New Roman" w:eastAsia="Times New Roman" w:hAnsi="Times New Roman" w:cs="Times New Roman"/>
          <w:b/>
          <w:bCs/>
          <w:sz w:val="24"/>
          <w:szCs w:val="24"/>
          <w:lang w:val="en-US" w:eastAsia="ru-RU"/>
        </w:rPr>
        <w:t xml:space="preserve"> </w:t>
      </w:r>
      <w:proofErr w:type="spellStart"/>
      <w:r w:rsidRPr="009870F9">
        <w:rPr>
          <w:rFonts w:ascii="Times New Roman" w:eastAsia="Times New Roman" w:hAnsi="Times New Roman" w:cs="Times New Roman"/>
          <w:b/>
          <w:bCs/>
          <w:sz w:val="24"/>
          <w:szCs w:val="24"/>
          <w:lang w:val="en-US" w:eastAsia="ru-RU"/>
        </w:rPr>
        <w:t>Salomovich</w:t>
      </w:r>
      <w:proofErr w:type="spellEnd"/>
      <w:r w:rsidRPr="009870F9">
        <w:rPr>
          <w:rFonts w:ascii="Times New Roman" w:eastAsia="Times New Roman" w:hAnsi="Times New Roman" w:cs="Times New Roman"/>
          <w:sz w:val="24"/>
          <w:szCs w:val="24"/>
          <w:lang w:val="en-US" w:eastAsia="ru-RU"/>
        </w:rPr>
        <w:br/>
        <w:t>PhD in Economics, Associate Professor</w:t>
      </w:r>
      <w:r w:rsidRPr="009870F9">
        <w:rPr>
          <w:rFonts w:ascii="Times New Roman" w:eastAsia="Times New Roman" w:hAnsi="Times New Roman" w:cs="Times New Roman"/>
          <w:sz w:val="24"/>
          <w:szCs w:val="24"/>
          <w:lang w:val="en-US" w:eastAsia="ru-RU"/>
        </w:rPr>
        <w:br/>
        <w:t>Tashkent University of Information Technologies, Samarkand Branch</w:t>
      </w:r>
      <w:r w:rsidRPr="009870F9">
        <w:rPr>
          <w:rFonts w:ascii="Times New Roman" w:eastAsia="Times New Roman" w:hAnsi="Times New Roman" w:cs="Times New Roman"/>
          <w:sz w:val="24"/>
          <w:szCs w:val="24"/>
          <w:lang w:val="en-US" w:eastAsia="ru-RU"/>
        </w:rPr>
        <w:br/>
        <w:t>E-mail: salohiddinachilov5@gmail.com</w:t>
      </w:r>
    </w:p>
    <w:p w14:paraId="5D7280CA" w14:textId="77777777" w:rsidR="009870F9" w:rsidRPr="00E270FF" w:rsidRDefault="009870F9" w:rsidP="009870F9">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E270FF">
        <w:rPr>
          <w:rFonts w:ascii="Times New Roman" w:eastAsia="Times New Roman" w:hAnsi="Times New Roman" w:cs="Times New Roman"/>
          <w:b/>
          <w:bCs/>
          <w:sz w:val="24"/>
          <w:szCs w:val="24"/>
          <w:lang w:val="en-US" w:eastAsia="ru-RU"/>
        </w:rPr>
        <w:t>ABSTRACT</w:t>
      </w:r>
    </w:p>
    <w:p w14:paraId="0CC3A8BE" w14:textId="77777777" w:rsidR="009870F9" w:rsidRPr="009870F9" w:rsidRDefault="009870F9" w:rsidP="00544828">
      <w:pPr>
        <w:spacing w:after="0" w:line="276" w:lineRule="auto"/>
        <w:jc w:val="both"/>
        <w:rPr>
          <w:rFonts w:ascii="Times New Roman" w:eastAsia="Times New Roman" w:hAnsi="Times New Roman" w:cs="Times New Roman"/>
          <w:sz w:val="24"/>
          <w:szCs w:val="24"/>
          <w:lang w:val="en-US" w:eastAsia="ru-RU"/>
        </w:rPr>
      </w:pPr>
      <w:r w:rsidRPr="009870F9">
        <w:rPr>
          <w:rFonts w:ascii="Times New Roman" w:eastAsia="Times New Roman" w:hAnsi="Times New Roman" w:cs="Times New Roman"/>
          <w:sz w:val="24"/>
          <w:szCs w:val="24"/>
          <w:lang w:val="en-US" w:eastAsia="ru-RU"/>
        </w:rPr>
        <w:t>This paper develops and scientifically substantiates a methodological approach to evaluating the effectiveness of integrating digital technologies into the tax system of the Republic of Uzbekistan based on expert-analytical methods. A conceptual model of digital transformation of tax administration is proposed, aimed at improving the functional performance of tax authorities, optimizing institutional interaction with taxpayers, and expanding the range of public services delivered in electronic format.</w:t>
      </w:r>
    </w:p>
    <w:p w14:paraId="492D2EF4" w14:textId="77777777" w:rsidR="009870F9" w:rsidRPr="009870F9" w:rsidRDefault="009870F9" w:rsidP="00544828">
      <w:pPr>
        <w:spacing w:after="0" w:line="276" w:lineRule="auto"/>
        <w:jc w:val="both"/>
        <w:rPr>
          <w:rFonts w:ascii="Times New Roman" w:eastAsia="Times New Roman" w:hAnsi="Times New Roman" w:cs="Times New Roman"/>
          <w:sz w:val="24"/>
          <w:szCs w:val="24"/>
          <w:lang w:val="en-US" w:eastAsia="ru-RU"/>
        </w:rPr>
      </w:pPr>
      <w:r w:rsidRPr="009870F9">
        <w:rPr>
          <w:rFonts w:ascii="Times New Roman" w:eastAsia="Times New Roman" w:hAnsi="Times New Roman" w:cs="Times New Roman"/>
          <w:sz w:val="24"/>
          <w:szCs w:val="24"/>
          <w:lang w:val="en-US" w:eastAsia="ru-RU"/>
        </w:rPr>
        <w:t>Special attention is given to the role of expert procedures, including sociological surveys and questionnaires, as tools for ensuring transparency of tax reporting, enhancing the validity of managerial decision-making, and forming a comprehensive mechanism for assessing the quality of interactive tax services. The study demonstrates that integration of expert-analytical methods with digital platforms increases the efficiency of tax administration and reduces institutional risks.</w:t>
      </w:r>
    </w:p>
    <w:p w14:paraId="656F2DBD" w14:textId="77777777" w:rsidR="009870F9" w:rsidRPr="009870F9" w:rsidRDefault="009870F9" w:rsidP="00544828">
      <w:pPr>
        <w:spacing w:after="0" w:line="276" w:lineRule="auto"/>
        <w:jc w:val="both"/>
        <w:rPr>
          <w:rFonts w:ascii="Times New Roman" w:eastAsia="Times New Roman" w:hAnsi="Times New Roman" w:cs="Times New Roman"/>
          <w:sz w:val="24"/>
          <w:szCs w:val="24"/>
          <w:lang w:val="en-US" w:eastAsia="ru-RU"/>
        </w:rPr>
      </w:pPr>
      <w:r w:rsidRPr="009870F9">
        <w:rPr>
          <w:rFonts w:ascii="Times New Roman" w:eastAsia="Times New Roman" w:hAnsi="Times New Roman" w:cs="Times New Roman"/>
          <w:sz w:val="24"/>
          <w:szCs w:val="24"/>
          <w:lang w:val="en-US" w:eastAsia="ru-RU"/>
        </w:rPr>
        <w:t>The proposed digital transformation model is interpreted as a systemic component of tax administration modernization, aimed at ensuring sustainable fiscal revenues, improving tax control quality, and developing risk-based management mechanisms in the tax system.</w:t>
      </w:r>
    </w:p>
    <w:p w14:paraId="753AA976" w14:textId="77777777" w:rsidR="009870F9" w:rsidRPr="009870F9" w:rsidRDefault="009870F9" w:rsidP="00544828">
      <w:pPr>
        <w:spacing w:after="0" w:line="276" w:lineRule="auto"/>
        <w:jc w:val="both"/>
        <w:rPr>
          <w:rFonts w:ascii="Times New Roman" w:eastAsia="Times New Roman" w:hAnsi="Times New Roman" w:cs="Times New Roman"/>
          <w:sz w:val="24"/>
          <w:szCs w:val="24"/>
          <w:lang w:val="en-US" w:eastAsia="ru-RU"/>
        </w:rPr>
      </w:pPr>
      <w:r w:rsidRPr="009870F9">
        <w:rPr>
          <w:rFonts w:ascii="Times New Roman" w:eastAsia="Times New Roman" w:hAnsi="Times New Roman" w:cs="Times New Roman"/>
          <w:b/>
          <w:bCs/>
          <w:sz w:val="24"/>
          <w:szCs w:val="24"/>
          <w:lang w:val="en-US" w:eastAsia="ru-RU"/>
        </w:rPr>
        <w:t>Keywords:</w:t>
      </w:r>
      <w:r w:rsidRPr="009870F9">
        <w:rPr>
          <w:rFonts w:ascii="Times New Roman" w:eastAsia="Times New Roman" w:hAnsi="Times New Roman" w:cs="Times New Roman"/>
          <w:sz w:val="24"/>
          <w:szCs w:val="24"/>
          <w:lang w:val="en-US" w:eastAsia="ru-RU"/>
        </w:rPr>
        <w:t xml:space="preserve"> digital transformation of the tax system; digital technologies; interactive tax services; mandatory payments; tax reporting; expert-analytical methods.</w:t>
      </w:r>
    </w:p>
    <w:p w14:paraId="3E7B2B50" w14:textId="77777777" w:rsidR="00013888" w:rsidRPr="00E270FF" w:rsidRDefault="00013888" w:rsidP="00013888">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E270FF">
        <w:rPr>
          <w:rFonts w:ascii="Times New Roman" w:eastAsia="Times New Roman" w:hAnsi="Times New Roman" w:cs="Times New Roman"/>
          <w:b/>
          <w:bCs/>
          <w:sz w:val="24"/>
          <w:szCs w:val="24"/>
          <w:lang w:val="en-US" w:eastAsia="ru-RU"/>
        </w:rPr>
        <w:t>INTRODUCTION</w:t>
      </w:r>
    </w:p>
    <w:p w14:paraId="16397993"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integration of digital technologies into modern economic systems has become a key driver of institutional and technological transformation, shaping new models of public governance and economic interaction. In the context of the digital economy, the Republic of Uzbekistan considers automation and digitalization as strategic foundations for modernizing the tax system and improving the effectiveness of fiscal policy. Accordingly, the digital transformation of tax administration has emerged as a priority area of state regulation aimed at ensuring transparency, efficiency, and sustainability of public revenue generation.</w:t>
      </w:r>
    </w:p>
    <w:p w14:paraId="35F9CA41"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contemporary automated tax information system of Uzbekistan provides comprehensive integration of accounting, analytical, control, and reporting procedures across all levels of governance. It represents a multi-layered institutional and technological environment that integrates economic, organizational, informational, and software components into a unified digital tax administration space. The implementation of digital solutions in taxation requires an interdisciplinary approach encompassing public administration, financial and economic institutions, and the business sector. In this context, the digitalization of the tax system produces significant multiplier effects on economic development and serves as a critical element of the modernization of the national economic mechanism.</w:t>
      </w:r>
    </w:p>
    <w:p w14:paraId="4AD0EEE3"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 xml:space="preserve">International practice in tax administration demonstrates a steady expansion of cross-border cooperation, policy coordination, and the harmonization of digital standards for data exchange, </w:t>
      </w:r>
      <w:r w:rsidRPr="006B64B6">
        <w:rPr>
          <w:rFonts w:ascii="Times New Roman" w:eastAsia="Times New Roman" w:hAnsi="Times New Roman" w:cs="Times New Roman"/>
          <w:sz w:val="24"/>
          <w:szCs w:val="24"/>
          <w:lang w:val="en-US" w:eastAsia="ru-RU"/>
        </w:rPr>
        <w:lastRenderedPageBreak/>
        <w:t>transparency, and tax compliance. For Uzbekistan, the introduction of digital administrative tools is a key prerequisite for implementing tax reforms and improving the quality of revenue management. At present, an extensive automated infrastructure has been established to process large volumes of data at national, regional, and local levels.</w:t>
      </w:r>
    </w:p>
    <w:p w14:paraId="4C695B0C"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transition to electronic formats of tax and accounting reporting has contributed to reducing transaction costs for businesses, increasing labor productivity of tax authorities, and improving the transparency of fiscal processes. Under these conditions, there is a growing need for a comprehensive scientific assessment of the outcomes of digital tax transformation, identification of institutional constraints, and development of expert-analytical approaches to evaluating the effectiveness of digital tax solutions.</w:t>
      </w:r>
    </w:p>
    <w:p w14:paraId="00D6BA5F"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purpose of this study is to develop scientifically grounded methodological approaches for expert-analytical evaluation of the effectiveness of the digital transformation of the tax system of the Republic of Uzbekistan and to identify key directions for its further development.</w:t>
      </w:r>
    </w:p>
    <w:p w14:paraId="48B88E47" w14:textId="77777777" w:rsidR="00013888" w:rsidRPr="00C42166" w:rsidRDefault="00013888" w:rsidP="00C42166">
      <w:pPr>
        <w:spacing w:after="0" w:line="276" w:lineRule="auto"/>
        <w:rPr>
          <w:rFonts w:ascii="Times New Roman" w:eastAsia="Times New Roman" w:hAnsi="Times New Roman" w:cs="Times New Roman"/>
          <w:sz w:val="24"/>
          <w:szCs w:val="24"/>
          <w:lang w:val="en-US" w:eastAsia="ru-RU"/>
        </w:rPr>
      </w:pPr>
      <w:r w:rsidRPr="00C42166">
        <w:rPr>
          <w:rFonts w:ascii="Times New Roman" w:eastAsia="Times New Roman" w:hAnsi="Times New Roman" w:cs="Times New Roman"/>
          <w:sz w:val="24"/>
          <w:szCs w:val="24"/>
          <w:lang w:val="en-US" w:eastAsia="ru-RU"/>
        </w:rPr>
        <w:t>To achieve this goal, the study addresses the following objectives:</w:t>
      </w:r>
      <w:r w:rsidRPr="00C42166">
        <w:rPr>
          <w:rFonts w:ascii="Times New Roman" w:eastAsia="Times New Roman" w:hAnsi="Times New Roman" w:cs="Times New Roman"/>
          <w:sz w:val="24"/>
          <w:szCs w:val="24"/>
          <w:lang w:val="en-US" w:eastAsia="ru-RU"/>
        </w:rPr>
        <w:br/>
        <w:t>– to conduct a comparative analysis of international experience in the digitalization of tax administration;</w:t>
      </w:r>
      <w:r w:rsidRPr="00C42166">
        <w:rPr>
          <w:rFonts w:ascii="Times New Roman" w:eastAsia="Times New Roman" w:hAnsi="Times New Roman" w:cs="Times New Roman"/>
          <w:sz w:val="24"/>
          <w:szCs w:val="24"/>
          <w:lang w:val="en-US" w:eastAsia="ru-RU"/>
        </w:rPr>
        <w:br/>
        <w:t>– to identify and systematize effective models and tools for implementing digital technologies in the tax sector;</w:t>
      </w:r>
      <w:r w:rsidRPr="00C42166">
        <w:rPr>
          <w:rFonts w:ascii="Times New Roman" w:eastAsia="Times New Roman" w:hAnsi="Times New Roman" w:cs="Times New Roman"/>
          <w:sz w:val="24"/>
          <w:szCs w:val="24"/>
          <w:lang w:val="en-US" w:eastAsia="ru-RU"/>
        </w:rPr>
        <w:br/>
        <w:t>– to assess the possibilities of adapting foreign practices to the institutional and socio-economic conditions of Uzbekistan;</w:t>
      </w:r>
      <w:r w:rsidRPr="00C42166">
        <w:rPr>
          <w:rFonts w:ascii="Times New Roman" w:eastAsia="Times New Roman" w:hAnsi="Times New Roman" w:cs="Times New Roman"/>
          <w:sz w:val="24"/>
          <w:szCs w:val="24"/>
          <w:lang w:val="en-US" w:eastAsia="ru-RU"/>
        </w:rPr>
        <w:br/>
        <w:t>– to develop methodological approaches for applying expert methods to evaluate the quality of digital tax services and the effectiveness of tax administration.</w:t>
      </w:r>
    </w:p>
    <w:p w14:paraId="6B37035F"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Contemporary digitalization processes transform traditional mechanisms of tax administration, including the development of electronic payment instruments, expansion of interactive tax services, introduction of artificial intelligence technologies, and improvement of the institutional structure of tax authorities. These transformations are implemented within the framework of the national strategy “Digital Uzbekistan – 2030,” which defines the priorities of digital development in the economy and public administration.</w:t>
      </w:r>
    </w:p>
    <w:p w14:paraId="3889470D"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At the same time, the reforms undertaken have revealed a number of systemic challenges that require further scientific analysis and practical solutions. The most significant issues include the complexity of tax calculation mechanisms, persistent tax burden, institutional and corruption risks, and outstanding tax liabilities. The adoption of the new Tax Code of the Republic of Uzbekistan (Law No. ZRU-599, December 30, 2019), developed within the framework of the Tax Policy Improvement Concept, aims to harmonize national tax legislation with international standards, expand digital services, enhance transparency, and optimize tax revenue management.</w:t>
      </w:r>
    </w:p>
    <w:p w14:paraId="05779B2A"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findings of national and international scholars confirm that digital transformation is a critical factor in improving the efficiency and sustainability of tax systems [1–7]. However, despite the progress achieved, several challenges remain, including limited functionality of existing information systems, insufficient development of interactive services, lack of transparency in tax calculation and payment processes, outdated technical infrastructure, limited investment resources, and insufficient integration of digital solutions with social policy and taxpayer protection mechanisms.</w:t>
      </w:r>
    </w:p>
    <w:p w14:paraId="58883AC7"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Addressing these challenges requires phased alignment of tax services with international standards, expansion of digital infrastructure, improvement of institutional interaction mechanisms between the state and taxpayers, and broader application of expert-analytical evaluation methods to enhance the validity of managerial decisions and the effectiveness of tax administration [4–9].</w:t>
      </w:r>
    </w:p>
    <w:p w14:paraId="027F2DFD" w14:textId="77777777" w:rsidR="00013888" w:rsidRPr="00E270FF" w:rsidRDefault="00013888" w:rsidP="00013888">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ru-RU"/>
        </w:rPr>
      </w:pPr>
      <w:r w:rsidRPr="00E270FF">
        <w:rPr>
          <w:rFonts w:ascii="Times New Roman" w:eastAsia="Times New Roman" w:hAnsi="Times New Roman" w:cs="Times New Roman"/>
          <w:b/>
          <w:bCs/>
          <w:kern w:val="36"/>
          <w:sz w:val="24"/>
          <w:szCs w:val="24"/>
          <w:lang w:val="en-US" w:eastAsia="ru-RU"/>
        </w:rPr>
        <w:lastRenderedPageBreak/>
        <w:t>MATERIALS AND METHODS</w:t>
      </w:r>
    </w:p>
    <w:p w14:paraId="6413FC27"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The empirical basis of this study is formed using data obtained from the Unified Information and Settlement Center of the tax authorities of the Republic of Uzbekistan, which operates as a key component of the national digital tax administration infrastructure. This platform integrates interactive tax services into a unified information and technological environment and covers the full cycle of tax administration. The system architecture is based on the use of advanced digital solutions, including Internet of Things (IoT) technologies, intelligent databases, and specialized information systems that provide taxpayers with timely, reliable, and structured information.</w:t>
      </w:r>
    </w:p>
    <w:p w14:paraId="6DBD5BAE"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The aim of the study is to conduct an expert-analytical assessment of the effectiveness of the digital transformation of the tax system of the Republic of Uzbekistan based on an analysis of international experience in tax administration digitalization, identification of the most effective organizational and technological models, and determination of the possibilities for their adaptation to national institutional conditions.</w:t>
      </w:r>
    </w:p>
    <w:p w14:paraId="14730831" w14:textId="77777777" w:rsidR="00013888" w:rsidRPr="000C6BE7" w:rsidRDefault="00013888" w:rsidP="00C42166">
      <w:pPr>
        <w:spacing w:after="0" w:line="276" w:lineRule="auto"/>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Within the study, the following key directions of digital transformation of the tax system are identified:</w:t>
      </w:r>
      <w:r w:rsidRPr="000C6BE7">
        <w:rPr>
          <w:rFonts w:ascii="Times New Roman" w:eastAsia="Times New Roman" w:hAnsi="Times New Roman" w:cs="Times New Roman"/>
          <w:sz w:val="24"/>
          <w:szCs w:val="24"/>
          <w:lang w:val="en-US" w:eastAsia="ru-RU"/>
        </w:rPr>
        <w:br/>
        <w:t>– transition to electronic tax payments and cashless settlements;</w:t>
      </w:r>
      <w:r w:rsidRPr="000C6BE7">
        <w:rPr>
          <w:rFonts w:ascii="Times New Roman" w:eastAsia="Times New Roman" w:hAnsi="Times New Roman" w:cs="Times New Roman"/>
          <w:sz w:val="24"/>
          <w:szCs w:val="24"/>
          <w:lang w:val="en-US" w:eastAsia="ru-RU"/>
        </w:rPr>
        <w:br/>
        <w:t>– development of interactive digital tax services and taxpayer interaction platforms;</w:t>
      </w:r>
      <w:r w:rsidRPr="000C6BE7">
        <w:rPr>
          <w:rFonts w:ascii="Times New Roman" w:eastAsia="Times New Roman" w:hAnsi="Times New Roman" w:cs="Times New Roman"/>
          <w:sz w:val="24"/>
          <w:szCs w:val="24"/>
          <w:lang w:val="en-US" w:eastAsia="ru-RU"/>
        </w:rPr>
        <w:br/>
        <w:t>– institutional modernization of tax authorities;</w:t>
      </w:r>
      <w:r w:rsidRPr="000C6BE7">
        <w:rPr>
          <w:rFonts w:ascii="Times New Roman" w:eastAsia="Times New Roman" w:hAnsi="Times New Roman" w:cs="Times New Roman"/>
          <w:sz w:val="24"/>
          <w:szCs w:val="24"/>
          <w:lang w:val="en-US" w:eastAsia="ru-RU"/>
        </w:rPr>
        <w:br/>
        <w:t>– implementation of innovative digital tools aimed at enhancing transparency, reliability, and analytical validity of tax calculations and managerial decision-making.</w:t>
      </w:r>
    </w:p>
    <w:p w14:paraId="1C0DFB85"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The scientific novelty of the research lies in the development of an original methodological framework for the expert-analytical evaluation of digital transformation of the tax system, incorporating tools for optimizing the structure of taxes and mandatory payments, improving tax control mechanisms, and expanding the use of expert methods in public fiscal governance.</w:t>
      </w:r>
    </w:p>
    <w:p w14:paraId="5F76EE3D"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The study is based on the hypothesis that the effectiveness of tax system digitalization depends not only on the level of technological development, but also on the degree of coherence of the regulatory framework, the institutional environment, and the quality of digital services. The observed gap between the formal implementation of digital procedures and their actual operational performance indicates the presence of regulatory and organizational-technological constraints.</w:t>
      </w:r>
    </w:p>
    <w:p w14:paraId="709E7A97"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An additional factor limiting the effectiveness of digital transformation is the existence of corruption risks, which may reduce the performance of implemented digital solutions and distort their evaluation. In this regard, particular importance is attached to the objective assessment of costs, implementation timelines, and the actual outcomes of digital system functioning using expert-analytical methods.</w:t>
      </w:r>
    </w:p>
    <w:p w14:paraId="0AD1EA4B"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The methodological basis of the research is a bottom-up functional approach to tax system digitalization, which involves the phased implementation of digital solutions—from individual application software and telecommunication tools to the formation of integrated digital platforms. Each stage of digital transformation is accompanied by expert evaluation and participation of qualified specialists, ensuring increased validity and reliability of managerial decisions.</w:t>
      </w:r>
    </w:p>
    <w:p w14:paraId="32160767"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For empirical validation, an expert survey (questionnaire method) was applied. The study was conducted in Samarkand in 2024 and involved 12 experts with competencies in taxation, digital technologies, and public administration. The questionnaire consisted of 10 items designed to quantitatively assess key factors of digital transformation of the tax system using a ten-point significance scale.</w:t>
      </w:r>
    </w:p>
    <w:p w14:paraId="1226D130" w14:textId="664146B3"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lastRenderedPageBreak/>
        <w:t>The organizational and methodological framework of the study included the formation of a working group responsible for data collection and preliminary processing of survey results, and an expert group responsible for aggregation of results using a system of weighting coefficients and expert consensus methods</w:t>
      </w:r>
      <w:r w:rsidR="00C84554">
        <w:rPr>
          <w:rFonts w:ascii="Times New Roman" w:eastAsia="Times New Roman" w:hAnsi="Times New Roman" w:cs="Times New Roman"/>
          <w:sz w:val="24"/>
          <w:szCs w:val="24"/>
          <w:lang w:val="en-US" w:eastAsia="ru-RU"/>
        </w:rPr>
        <w:t xml:space="preserve"> [10-16].</w:t>
      </w:r>
    </w:p>
    <w:p w14:paraId="7633DEF3"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The questionnaire was aimed at evaluating the following aspects of digital transformation of the tax system:</w:t>
      </w:r>
    </w:p>
    <w:p w14:paraId="3EFCF92D"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effectiveness of implementation of digital solutions in tax administration;</w:t>
      </w:r>
    </w:p>
    <w:p w14:paraId="09F01894"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eastAsia="ru-RU"/>
        </w:rPr>
      </w:pPr>
      <w:proofErr w:type="spellStart"/>
      <w:r w:rsidRPr="000C6BE7">
        <w:rPr>
          <w:rFonts w:ascii="Times New Roman" w:eastAsia="Times New Roman" w:hAnsi="Times New Roman" w:cs="Times New Roman"/>
          <w:sz w:val="24"/>
          <w:szCs w:val="24"/>
          <w:lang w:eastAsia="ru-RU"/>
        </w:rPr>
        <w:t>transparency</w:t>
      </w:r>
      <w:proofErr w:type="spellEnd"/>
      <w:r w:rsidRPr="000C6BE7">
        <w:rPr>
          <w:rFonts w:ascii="Times New Roman" w:eastAsia="Times New Roman" w:hAnsi="Times New Roman" w:cs="Times New Roman"/>
          <w:sz w:val="24"/>
          <w:szCs w:val="24"/>
          <w:lang w:eastAsia="ru-RU"/>
        </w:rPr>
        <w:t xml:space="preserve"> </w:t>
      </w:r>
      <w:proofErr w:type="spellStart"/>
      <w:r w:rsidRPr="000C6BE7">
        <w:rPr>
          <w:rFonts w:ascii="Times New Roman" w:eastAsia="Times New Roman" w:hAnsi="Times New Roman" w:cs="Times New Roman"/>
          <w:sz w:val="24"/>
          <w:szCs w:val="24"/>
          <w:lang w:eastAsia="ru-RU"/>
        </w:rPr>
        <w:t>of</w:t>
      </w:r>
      <w:proofErr w:type="spellEnd"/>
      <w:r w:rsidRPr="000C6BE7">
        <w:rPr>
          <w:rFonts w:ascii="Times New Roman" w:eastAsia="Times New Roman" w:hAnsi="Times New Roman" w:cs="Times New Roman"/>
          <w:sz w:val="24"/>
          <w:szCs w:val="24"/>
          <w:lang w:eastAsia="ru-RU"/>
        </w:rPr>
        <w:t xml:space="preserve"> </w:t>
      </w:r>
      <w:proofErr w:type="spellStart"/>
      <w:r w:rsidRPr="000C6BE7">
        <w:rPr>
          <w:rFonts w:ascii="Times New Roman" w:eastAsia="Times New Roman" w:hAnsi="Times New Roman" w:cs="Times New Roman"/>
          <w:sz w:val="24"/>
          <w:szCs w:val="24"/>
          <w:lang w:eastAsia="ru-RU"/>
        </w:rPr>
        <w:t>tax</w:t>
      </w:r>
      <w:proofErr w:type="spellEnd"/>
      <w:r w:rsidRPr="000C6BE7">
        <w:rPr>
          <w:rFonts w:ascii="Times New Roman" w:eastAsia="Times New Roman" w:hAnsi="Times New Roman" w:cs="Times New Roman"/>
          <w:sz w:val="24"/>
          <w:szCs w:val="24"/>
          <w:lang w:eastAsia="ru-RU"/>
        </w:rPr>
        <w:t xml:space="preserve"> </w:t>
      </w:r>
      <w:proofErr w:type="spellStart"/>
      <w:r w:rsidRPr="000C6BE7">
        <w:rPr>
          <w:rFonts w:ascii="Times New Roman" w:eastAsia="Times New Roman" w:hAnsi="Times New Roman" w:cs="Times New Roman"/>
          <w:sz w:val="24"/>
          <w:szCs w:val="24"/>
          <w:lang w:eastAsia="ru-RU"/>
        </w:rPr>
        <w:t>legislation</w:t>
      </w:r>
      <w:proofErr w:type="spellEnd"/>
      <w:r w:rsidRPr="000C6BE7">
        <w:rPr>
          <w:rFonts w:ascii="Times New Roman" w:eastAsia="Times New Roman" w:hAnsi="Times New Roman" w:cs="Times New Roman"/>
          <w:sz w:val="24"/>
          <w:szCs w:val="24"/>
          <w:lang w:eastAsia="ru-RU"/>
        </w:rPr>
        <w:t>;</w:t>
      </w:r>
    </w:p>
    <w:p w14:paraId="5AEBA873"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performance of interactive tax services (soliq.uz, my.soliq.uz);</w:t>
      </w:r>
    </w:p>
    <w:p w14:paraId="1DAA36F2"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professional competence of tax authority staff;</w:t>
      </w:r>
    </w:p>
    <w:p w14:paraId="260A9C5C"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level and acceptability of tax burden for businesses;</w:t>
      </w:r>
    </w:p>
    <w:p w14:paraId="001D42FA"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eastAsia="ru-RU"/>
        </w:rPr>
      </w:pPr>
      <w:proofErr w:type="spellStart"/>
      <w:r w:rsidRPr="000C6BE7">
        <w:rPr>
          <w:rFonts w:ascii="Times New Roman" w:eastAsia="Times New Roman" w:hAnsi="Times New Roman" w:cs="Times New Roman"/>
          <w:sz w:val="24"/>
          <w:szCs w:val="24"/>
          <w:lang w:eastAsia="ru-RU"/>
        </w:rPr>
        <w:t>justification</w:t>
      </w:r>
      <w:proofErr w:type="spellEnd"/>
      <w:r w:rsidRPr="000C6BE7">
        <w:rPr>
          <w:rFonts w:ascii="Times New Roman" w:eastAsia="Times New Roman" w:hAnsi="Times New Roman" w:cs="Times New Roman"/>
          <w:sz w:val="24"/>
          <w:szCs w:val="24"/>
          <w:lang w:eastAsia="ru-RU"/>
        </w:rPr>
        <w:t xml:space="preserve"> </w:t>
      </w:r>
      <w:proofErr w:type="spellStart"/>
      <w:r w:rsidRPr="000C6BE7">
        <w:rPr>
          <w:rFonts w:ascii="Times New Roman" w:eastAsia="Times New Roman" w:hAnsi="Times New Roman" w:cs="Times New Roman"/>
          <w:sz w:val="24"/>
          <w:szCs w:val="24"/>
          <w:lang w:eastAsia="ru-RU"/>
        </w:rPr>
        <w:t>of</w:t>
      </w:r>
      <w:proofErr w:type="spellEnd"/>
      <w:r w:rsidRPr="000C6BE7">
        <w:rPr>
          <w:rFonts w:ascii="Times New Roman" w:eastAsia="Times New Roman" w:hAnsi="Times New Roman" w:cs="Times New Roman"/>
          <w:sz w:val="24"/>
          <w:szCs w:val="24"/>
          <w:lang w:eastAsia="ru-RU"/>
        </w:rPr>
        <w:t xml:space="preserve"> </w:t>
      </w:r>
      <w:proofErr w:type="spellStart"/>
      <w:r w:rsidRPr="000C6BE7">
        <w:rPr>
          <w:rFonts w:ascii="Times New Roman" w:eastAsia="Times New Roman" w:hAnsi="Times New Roman" w:cs="Times New Roman"/>
          <w:sz w:val="24"/>
          <w:szCs w:val="24"/>
          <w:lang w:eastAsia="ru-RU"/>
        </w:rPr>
        <w:t>tax</w:t>
      </w:r>
      <w:proofErr w:type="spellEnd"/>
      <w:r w:rsidRPr="000C6BE7">
        <w:rPr>
          <w:rFonts w:ascii="Times New Roman" w:eastAsia="Times New Roman" w:hAnsi="Times New Roman" w:cs="Times New Roman"/>
          <w:sz w:val="24"/>
          <w:szCs w:val="24"/>
          <w:lang w:eastAsia="ru-RU"/>
        </w:rPr>
        <w:t xml:space="preserve"> </w:t>
      </w:r>
      <w:proofErr w:type="spellStart"/>
      <w:r w:rsidRPr="000C6BE7">
        <w:rPr>
          <w:rFonts w:ascii="Times New Roman" w:eastAsia="Times New Roman" w:hAnsi="Times New Roman" w:cs="Times New Roman"/>
          <w:sz w:val="24"/>
          <w:szCs w:val="24"/>
          <w:lang w:eastAsia="ru-RU"/>
        </w:rPr>
        <w:t>sanctions</w:t>
      </w:r>
      <w:proofErr w:type="spellEnd"/>
      <w:r w:rsidRPr="000C6BE7">
        <w:rPr>
          <w:rFonts w:ascii="Times New Roman" w:eastAsia="Times New Roman" w:hAnsi="Times New Roman" w:cs="Times New Roman"/>
          <w:sz w:val="24"/>
          <w:szCs w:val="24"/>
          <w:lang w:eastAsia="ru-RU"/>
        </w:rPr>
        <w:t>;</w:t>
      </w:r>
    </w:p>
    <w:p w14:paraId="7D9F2438"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prospects for optimization of the structure of taxes and mandatory payments;</w:t>
      </w:r>
    </w:p>
    <w:p w14:paraId="5D3D6969"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effectiveness of coordination bodies in tax control;</w:t>
      </w:r>
    </w:p>
    <w:p w14:paraId="1801CD1E"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impact of digital services on reducing corruption risks;</w:t>
      </w:r>
    </w:p>
    <w:p w14:paraId="1826C7ED" w14:textId="77777777" w:rsidR="00013888" w:rsidRPr="000C6BE7" w:rsidRDefault="00013888" w:rsidP="006B64B6">
      <w:pPr>
        <w:numPr>
          <w:ilvl w:val="0"/>
          <w:numId w:val="5"/>
        </w:num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presence and scale of corruption manifestations in the tax sector.</w:t>
      </w:r>
    </w:p>
    <w:p w14:paraId="22D08247"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The results of the expert analysis confirmed the strategic importance of digital transformation of tax administration as a key factor in ensuring sustainable economic development. The integration of digital technologies contributes to improved monitoring of tax burden, enhanced data processing quality, reduction of administrative and time costs for taxpayers, and increased transparency and efficiency of tax authorities.</w:t>
      </w:r>
    </w:p>
    <w:p w14:paraId="34229398" w14:textId="77777777" w:rsidR="00013888" w:rsidRPr="000C6BE7" w:rsidRDefault="00013888" w:rsidP="006B64B6">
      <w:pPr>
        <w:spacing w:after="0" w:line="276" w:lineRule="auto"/>
        <w:jc w:val="both"/>
        <w:rPr>
          <w:rFonts w:ascii="Times New Roman" w:eastAsia="Times New Roman" w:hAnsi="Times New Roman" w:cs="Times New Roman"/>
          <w:sz w:val="24"/>
          <w:szCs w:val="24"/>
          <w:lang w:val="en-US" w:eastAsia="ru-RU"/>
        </w:rPr>
      </w:pPr>
      <w:r w:rsidRPr="000C6BE7">
        <w:rPr>
          <w:rFonts w:ascii="Times New Roman" w:eastAsia="Times New Roman" w:hAnsi="Times New Roman" w:cs="Times New Roman"/>
          <w:sz w:val="24"/>
          <w:szCs w:val="24"/>
          <w:lang w:val="en-US" w:eastAsia="ru-RU"/>
        </w:rPr>
        <w:t>Thus, the application of expert-analytical methods made it possible to substantiate the necessity of phased digitalization of the tax system of the Republic of Uzbekistan and to identify priority directions for its further development in the context of forming an intelligent digital model of tax administration.</w:t>
      </w:r>
    </w:p>
    <w:p w14:paraId="643F44E8" w14:textId="77777777" w:rsidR="00013888" w:rsidRPr="00E270FF" w:rsidRDefault="00013888" w:rsidP="00013888">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E270FF">
        <w:rPr>
          <w:rFonts w:ascii="Times New Roman" w:eastAsia="Times New Roman" w:hAnsi="Times New Roman" w:cs="Times New Roman"/>
          <w:b/>
          <w:bCs/>
          <w:sz w:val="24"/>
          <w:szCs w:val="24"/>
          <w:lang w:val="en-US" w:eastAsia="ru-RU"/>
        </w:rPr>
        <w:t>RESULTS</w:t>
      </w:r>
    </w:p>
    <w:p w14:paraId="6A4375B5"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application of expert-analytical methods in this study has confirmed their high scientific and practical relevance for evaluating the effectiveness of the digital transformation of tax administration. These methods are particularly important in conditions of limited traditional statistical data and rapid institutional changes associated with the digitalization of the tax system.</w:t>
      </w:r>
    </w:p>
    <w:p w14:paraId="3907A381"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At the empirical stage of the research, variability in expert assessments of key factors of digital transformation was identified, which required a quantitative evaluation of the level of agreement among experts. Kendall’s coefficient of concordance was applied to determine the consistency of expert judgments and to ensure the reliability of analytical conclusions.</w:t>
      </w:r>
    </w:p>
    <w:p w14:paraId="75186447" w14:textId="5A703B51" w:rsidR="00013888" w:rsidRPr="00E270FF" w:rsidRDefault="00013888" w:rsidP="00E270FF">
      <w:pPr>
        <w:spacing w:after="0" w:line="240"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data were processed using methods of mathematical statistics and rank analysis. The study conducted in Samarkand in 2024 involved 12 experts representing public authorities, the private sector, and civil society institutions. The questionnaire included 10 indicators evaluated on a ten-</w:t>
      </w:r>
      <w:r w:rsidRPr="00E270FF">
        <w:rPr>
          <w:rFonts w:ascii="Times New Roman" w:eastAsia="Times New Roman" w:hAnsi="Times New Roman" w:cs="Times New Roman"/>
          <w:sz w:val="24"/>
          <w:szCs w:val="24"/>
          <w:lang w:val="en-US" w:eastAsia="ru-RU"/>
        </w:rPr>
        <w:t>point scale</w:t>
      </w:r>
      <w:r w:rsidR="00C84554" w:rsidRPr="00E270FF">
        <w:rPr>
          <w:rFonts w:ascii="Times New Roman" w:eastAsia="Times New Roman" w:hAnsi="Times New Roman" w:cs="Times New Roman"/>
          <w:sz w:val="24"/>
          <w:szCs w:val="24"/>
          <w:lang w:val="en-US" w:eastAsia="ru-RU"/>
        </w:rPr>
        <w:t xml:space="preserve"> [16-21].</w:t>
      </w:r>
    </w:p>
    <w:p w14:paraId="43CBDE85" w14:textId="401E0345" w:rsidR="00013888" w:rsidRPr="00E270FF" w:rsidRDefault="00013888" w:rsidP="00E270FF">
      <w:pPr>
        <w:spacing w:after="0"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t>The average score for each factor was calculated as:</w:t>
      </w:r>
    </w:p>
    <w:p w14:paraId="06F15663" w14:textId="7BAE18B3" w:rsidR="0036465C" w:rsidRPr="00E270FF" w:rsidRDefault="0036465C" w:rsidP="00E270FF">
      <w:pPr>
        <w:spacing w:after="0" w:line="240" w:lineRule="auto"/>
        <w:jc w:val="both"/>
        <w:rPr>
          <w:rFonts w:ascii="Times New Roman" w:eastAsia="Times New Roman" w:hAnsi="Times New Roman" w:cs="Times New Roman"/>
          <w:sz w:val="24"/>
          <w:szCs w:val="24"/>
          <w:lang w:eastAsia="ru-RU"/>
        </w:rPr>
      </w:pPr>
      <w:r w:rsidRPr="00E270FF">
        <w:rPr>
          <w:rFonts w:ascii="Times New Roman" w:eastAsia="Times New Roman" w:hAnsi="Times New Roman" w:cs="Times New Roman"/>
          <w:sz w:val="24"/>
          <w:szCs w:val="24"/>
          <w:lang w:val="en-US" w:eastAsia="ru-RU"/>
        </w:rPr>
        <w:t xml:space="preserve">                                                       </w:t>
      </w:r>
      <w:r w:rsidRPr="00E270FF">
        <w:rPr>
          <w:rFonts w:ascii="Times New Roman" w:eastAsia="Times New Roman" w:hAnsi="Times New Roman" w:cs="Times New Roman"/>
          <w:noProof/>
          <w:sz w:val="24"/>
          <w:szCs w:val="24"/>
          <w:lang w:eastAsia="ru-RU"/>
        </w:rPr>
        <w:drawing>
          <wp:inline distT="0" distB="0" distL="0" distR="0" wp14:anchorId="60F68C5A" wp14:editId="6D734650">
            <wp:extent cx="1244664" cy="5207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44664" cy="520727"/>
                    </a:xfrm>
                    <a:prstGeom prst="rect">
                      <a:avLst/>
                    </a:prstGeom>
                  </pic:spPr>
                </pic:pic>
              </a:graphicData>
            </a:graphic>
          </wp:inline>
        </w:drawing>
      </w:r>
    </w:p>
    <w:p w14:paraId="6B6A92B9" w14:textId="77777777" w:rsidR="0036465C" w:rsidRPr="00E270FF" w:rsidRDefault="0036465C" w:rsidP="00E270FF">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14:paraId="33D0C423" w14:textId="3ACA0CDF" w:rsidR="00013888" w:rsidRPr="00E270FF" w:rsidRDefault="00013888" w:rsidP="00E270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lastRenderedPageBreak/>
        <w:t>where (</w:t>
      </w:r>
      <w:proofErr w:type="spellStart"/>
      <w:r w:rsidRPr="00E270FF">
        <w:rPr>
          <w:rFonts w:ascii="Times New Roman" w:eastAsia="Times New Roman" w:hAnsi="Times New Roman" w:cs="Times New Roman"/>
          <w:sz w:val="24"/>
          <w:szCs w:val="24"/>
          <w:lang w:val="en-US" w:eastAsia="ru-RU"/>
        </w:rPr>
        <w:t>Sj</w:t>
      </w:r>
      <w:proofErr w:type="spellEnd"/>
      <w:r w:rsidRPr="00E270FF">
        <w:rPr>
          <w:rFonts w:ascii="Times New Roman" w:eastAsia="Times New Roman" w:hAnsi="Times New Roman" w:cs="Times New Roman"/>
          <w:sz w:val="24"/>
          <w:szCs w:val="24"/>
          <w:lang w:val="en-US" w:eastAsia="ru-RU"/>
        </w:rPr>
        <w:t xml:space="preserve">) is the average score of </w:t>
      </w:r>
      <w:proofErr w:type="gramStart"/>
      <w:r w:rsidRPr="00E270FF">
        <w:rPr>
          <w:rFonts w:ascii="Times New Roman" w:eastAsia="Times New Roman" w:hAnsi="Times New Roman" w:cs="Times New Roman"/>
          <w:sz w:val="24"/>
          <w:szCs w:val="24"/>
          <w:lang w:val="en-US" w:eastAsia="ru-RU"/>
        </w:rPr>
        <w:t>factor</w:t>
      </w:r>
      <w:proofErr w:type="gramEnd"/>
      <w:r w:rsidRPr="00E270FF">
        <w:rPr>
          <w:rFonts w:ascii="Times New Roman" w:eastAsia="Times New Roman" w:hAnsi="Times New Roman" w:cs="Times New Roman"/>
          <w:sz w:val="24"/>
          <w:szCs w:val="24"/>
          <w:lang w:val="en-US" w:eastAsia="ru-RU"/>
        </w:rPr>
        <w:t xml:space="preserve"> (j); (a{</w:t>
      </w:r>
      <w:proofErr w:type="spellStart"/>
      <w:r w:rsidRPr="00E270FF">
        <w:rPr>
          <w:rFonts w:ascii="Times New Roman" w:eastAsia="Times New Roman" w:hAnsi="Times New Roman" w:cs="Times New Roman"/>
          <w:sz w:val="24"/>
          <w:szCs w:val="24"/>
          <w:lang w:val="en-US" w:eastAsia="ru-RU"/>
        </w:rPr>
        <w:t>ij</w:t>
      </w:r>
      <w:proofErr w:type="spellEnd"/>
      <w:r w:rsidRPr="00E270FF">
        <w:rPr>
          <w:rFonts w:ascii="Times New Roman" w:eastAsia="Times New Roman" w:hAnsi="Times New Roman" w:cs="Times New Roman"/>
          <w:sz w:val="24"/>
          <w:szCs w:val="24"/>
          <w:lang w:val="en-US" w:eastAsia="ru-RU"/>
        </w:rPr>
        <w:t>}) is the score assigned by expert (</w:t>
      </w:r>
      <w:proofErr w:type="spellStart"/>
      <w:r w:rsidRPr="00E270FF">
        <w:rPr>
          <w:rFonts w:ascii="Times New Roman" w:eastAsia="Times New Roman" w:hAnsi="Times New Roman" w:cs="Times New Roman"/>
          <w:sz w:val="24"/>
          <w:szCs w:val="24"/>
          <w:lang w:val="en-US" w:eastAsia="ru-RU"/>
        </w:rPr>
        <w:t>i</w:t>
      </w:r>
      <w:proofErr w:type="spellEnd"/>
      <w:r w:rsidRPr="00E270FF">
        <w:rPr>
          <w:rFonts w:ascii="Times New Roman" w:eastAsia="Times New Roman" w:hAnsi="Times New Roman" w:cs="Times New Roman"/>
          <w:sz w:val="24"/>
          <w:szCs w:val="24"/>
          <w:lang w:val="en-US" w:eastAsia="ru-RU"/>
        </w:rPr>
        <w:t>); and (m) is the number of experts.</w:t>
      </w:r>
    </w:p>
    <w:p w14:paraId="6B0130AE" w14:textId="745C8A98" w:rsidR="00013888" w:rsidRPr="00E270FF" w:rsidRDefault="00013888" w:rsidP="00E270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t>The mean value across all factors was defined as:</w:t>
      </w:r>
    </w:p>
    <w:p w14:paraId="1D3DE348" w14:textId="1B5BCB71" w:rsidR="0036465C" w:rsidRPr="00E270FF" w:rsidRDefault="0036465C" w:rsidP="00E270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t xml:space="preserve">                                                            </w:t>
      </w:r>
      <w:r w:rsidRPr="00E270FF">
        <w:rPr>
          <w:rFonts w:ascii="Times New Roman" w:eastAsia="Times New Roman" w:hAnsi="Times New Roman" w:cs="Times New Roman"/>
          <w:noProof/>
          <w:sz w:val="24"/>
          <w:szCs w:val="24"/>
          <w:lang w:eastAsia="ru-RU"/>
        </w:rPr>
        <w:drawing>
          <wp:inline distT="0" distB="0" distL="0" distR="0" wp14:anchorId="2B9864AD" wp14:editId="105B0449">
            <wp:extent cx="1168460" cy="53977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68460" cy="539778"/>
                    </a:xfrm>
                    <a:prstGeom prst="rect">
                      <a:avLst/>
                    </a:prstGeom>
                  </pic:spPr>
                </pic:pic>
              </a:graphicData>
            </a:graphic>
          </wp:inline>
        </w:drawing>
      </w:r>
    </w:p>
    <w:p w14:paraId="74FE9F30" w14:textId="0EC02A48" w:rsidR="00013888" w:rsidRPr="00E270FF" w:rsidRDefault="00013888" w:rsidP="00E270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t>with deviations calculated as:</w:t>
      </w:r>
    </w:p>
    <w:p w14:paraId="7D22C3C0" w14:textId="1145EA3C" w:rsidR="0036465C" w:rsidRPr="00E270FF" w:rsidRDefault="0036465C" w:rsidP="00E270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t xml:space="preserve">                                                            </w:t>
      </w:r>
      <w:r w:rsidRPr="00E270FF">
        <w:rPr>
          <w:rFonts w:ascii="Times New Roman" w:eastAsia="Times New Roman" w:hAnsi="Times New Roman" w:cs="Times New Roman"/>
          <w:noProof/>
          <w:sz w:val="24"/>
          <w:szCs w:val="24"/>
          <w:lang w:eastAsia="ru-RU"/>
        </w:rPr>
        <w:drawing>
          <wp:inline distT="0" distB="0" distL="0" distR="0" wp14:anchorId="4237B705" wp14:editId="6E750FA2">
            <wp:extent cx="1149409" cy="34291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49409" cy="342918"/>
                    </a:xfrm>
                    <a:prstGeom prst="rect">
                      <a:avLst/>
                    </a:prstGeom>
                  </pic:spPr>
                </pic:pic>
              </a:graphicData>
            </a:graphic>
          </wp:inline>
        </w:drawing>
      </w:r>
    </w:p>
    <w:p w14:paraId="65C4CF4A" w14:textId="1BE5AB5F" w:rsidR="00013888" w:rsidRPr="00E270FF" w:rsidRDefault="00013888" w:rsidP="00E270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t>Kendall’s coefficient of concordance was calculated as:</w:t>
      </w:r>
    </w:p>
    <w:p w14:paraId="54EC162E" w14:textId="1EA50704" w:rsidR="0036465C" w:rsidRPr="00E270FF" w:rsidRDefault="0036465C" w:rsidP="00E270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70FF">
        <w:rPr>
          <w:rFonts w:ascii="Times New Roman" w:eastAsia="Times New Roman" w:hAnsi="Times New Roman" w:cs="Times New Roman"/>
          <w:sz w:val="24"/>
          <w:szCs w:val="24"/>
          <w:lang w:val="en-US" w:eastAsia="ru-RU"/>
        </w:rPr>
        <w:t xml:space="preserve">                                                           </w:t>
      </w:r>
      <w:r w:rsidRPr="00E270FF">
        <w:rPr>
          <w:rFonts w:ascii="Times New Roman" w:eastAsia="Times New Roman" w:hAnsi="Times New Roman" w:cs="Times New Roman"/>
          <w:noProof/>
          <w:sz w:val="24"/>
          <w:szCs w:val="24"/>
          <w:lang w:eastAsia="ru-RU"/>
        </w:rPr>
        <w:drawing>
          <wp:inline distT="0" distB="0" distL="0" distR="0" wp14:anchorId="3C0AE68A" wp14:editId="093B1DEB">
            <wp:extent cx="1409772" cy="55882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9772" cy="558829"/>
                    </a:xfrm>
                    <a:prstGeom prst="rect">
                      <a:avLst/>
                    </a:prstGeom>
                  </pic:spPr>
                </pic:pic>
              </a:graphicData>
            </a:graphic>
          </wp:inline>
        </w:drawing>
      </w:r>
    </w:p>
    <w:p w14:paraId="34F29183" w14:textId="77777777" w:rsidR="00A00EA6" w:rsidRPr="00E270FF" w:rsidRDefault="00013888" w:rsidP="00E270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t>The obtained value:</w:t>
      </w:r>
    </w:p>
    <w:p w14:paraId="3EEE9A85" w14:textId="088016AD" w:rsidR="00A00EA6" w:rsidRPr="00E270FF" w:rsidRDefault="00A00EA6" w:rsidP="00E270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270FF">
        <w:rPr>
          <w:rFonts w:ascii="Times New Roman" w:eastAsia="Times New Roman" w:hAnsi="Times New Roman" w:cs="Times New Roman"/>
          <w:sz w:val="24"/>
          <w:szCs w:val="24"/>
          <w:lang w:eastAsia="ru-RU"/>
        </w:rPr>
        <w:t xml:space="preserve">                                                                  </w:t>
      </w:r>
      <w:r w:rsidRPr="00E270FF">
        <w:rPr>
          <w:rFonts w:ascii="Times New Roman" w:eastAsia="Times New Roman" w:hAnsi="Times New Roman" w:cs="Times New Roman"/>
          <w:noProof/>
          <w:sz w:val="24"/>
          <w:szCs w:val="24"/>
          <w:lang w:eastAsia="ru-RU"/>
        </w:rPr>
        <w:drawing>
          <wp:inline distT="0" distB="0" distL="0" distR="0" wp14:anchorId="30756473" wp14:editId="229B5A09">
            <wp:extent cx="1035103" cy="40642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35103" cy="406421"/>
                    </a:xfrm>
                    <a:prstGeom prst="rect">
                      <a:avLst/>
                    </a:prstGeom>
                  </pic:spPr>
                </pic:pic>
              </a:graphicData>
            </a:graphic>
          </wp:inline>
        </w:drawing>
      </w:r>
    </w:p>
    <w:p w14:paraId="3E3EFBFC" w14:textId="77777777" w:rsidR="00013888" w:rsidRPr="006B64B6" w:rsidRDefault="00013888" w:rsidP="00E270FF">
      <w:pPr>
        <w:spacing w:after="0" w:line="240" w:lineRule="auto"/>
        <w:jc w:val="both"/>
        <w:rPr>
          <w:rFonts w:ascii="Times New Roman" w:eastAsia="Times New Roman" w:hAnsi="Times New Roman" w:cs="Times New Roman"/>
          <w:sz w:val="24"/>
          <w:szCs w:val="24"/>
          <w:lang w:val="en-US" w:eastAsia="ru-RU"/>
        </w:rPr>
      </w:pPr>
      <w:r w:rsidRPr="00E270FF">
        <w:rPr>
          <w:rFonts w:ascii="Times New Roman" w:eastAsia="Times New Roman" w:hAnsi="Times New Roman" w:cs="Times New Roman"/>
          <w:sz w:val="24"/>
          <w:szCs w:val="24"/>
          <w:lang w:val="en-US" w:eastAsia="ru-RU"/>
        </w:rPr>
        <w:t xml:space="preserve">indicates a </w:t>
      </w:r>
      <w:r w:rsidRPr="00E270FF">
        <w:rPr>
          <w:rFonts w:ascii="Times New Roman" w:eastAsia="Times New Roman" w:hAnsi="Times New Roman" w:cs="Times New Roman"/>
          <w:b/>
          <w:bCs/>
          <w:sz w:val="24"/>
          <w:szCs w:val="24"/>
          <w:lang w:val="en-US" w:eastAsia="ru-RU"/>
        </w:rPr>
        <w:t>substantial level of agreement among experts</w:t>
      </w:r>
      <w:r w:rsidRPr="00E270FF">
        <w:rPr>
          <w:rFonts w:ascii="Times New Roman" w:eastAsia="Times New Roman" w:hAnsi="Times New Roman" w:cs="Times New Roman"/>
          <w:sz w:val="24"/>
          <w:szCs w:val="24"/>
          <w:lang w:val="en-US" w:eastAsia="ru-RU"/>
        </w:rPr>
        <w:t>, confirming the reliability</w:t>
      </w:r>
      <w:r w:rsidRPr="006B64B6">
        <w:rPr>
          <w:rFonts w:ascii="Times New Roman" w:eastAsia="Times New Roman" w:hAnsi="Times New Roman" w:cs="Times New Roman"/>
          <w:sz w:val="24"/>
          <w:szCs w:val="24"/>
          <w:lang w:val="en-US" w:eastAsia="ru-RU"/>
        </w:rPr>
        <w:t xml:space="preserve"> of the empirical findings.</w:t>
      </w:r>
    </w:p>
    <w:p w14:paraId="1155C4D2" w14:textId="77777777" w:rsidR="00013888" w:rsidRPr="006B64B6" w:rsidRDefault="00013888" w:rsidP="00C42166">
      <w:pPr>
        <w:spacing w:after="0" w:line="276" w:lineRule="auto"/>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analysis identified the most significant factors of digital tax transformation as follows:</w:t>
      </w:r>
    </w:p>
    <w:p w14:paraId="226C70B3" w14:textId="77777777" w:rsidR="00013888" w:rsidRPr="006B64B6" w:rsidRDefault="00013888" w:rsidP="00C42166">
      <w:pPr>
        <w:spacing w:after="0" w:line="276" w:lineRule="auto"/>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 development of interactive tax services;</w:t>
      </w:r>
      <w:r w:rsidRPr="006B64B6">
        <w:rPr>
          <w:rFonts w:ascii="Times New Roman" w:eastAsia="Times New Roman" w:hAnsi="Times New Roman" w:cs="Times New Roman"/>
          <w:sz w:val="24"/>
          <w:szCs w:val="24"/>
          <w:lang w:val="en-US" w:eastAsia="ru-RU"/>
        </w:rPr>
        <w:br/>
        <w:t>– increased transparency of tax administration;</w:t>
      </w:r>
      <w:r w:rsidRPr="006B64B6">
        <w:rPr>
          <w:rFonts w:ascii="Times New Roman" w:eastAsia="Times New Roman" w:hAnsi="Times New Roman" w:cs="Times New Roman"/>
          <w:sz w:val="24"/>
          <w:szCs w:val="24"/>
          <w:lang w:val="en-US" w:eastAsia="ru-RU"/>
        </w:rPr>
        <w:br/>
        <w:t>– improvement of digital tax control mechanisms;</w:t>
      </w:r>
      <w:r w:rsidRPr="006B64B6">
        <w:rPr>
          <w:rFonts w:ascii="Times New Roman" w:eastAsia="Times New Roman" w:hAnsi="Times New Roman" w:cs="Times New Roman"/>
          <w:sz w:val="24"/>
          <w:szCs w:val="24"/>
          <w:lang w:val="en-US" w:eastAsia="ru-RU"/>
        </w:rPr>
        <w:br/>
        <w:t>– reduction of corruption risks through automation;</w:t>
      </w:r>
      <w:r w:rsidRPr="006B64B6">
        <w:rPr>
          <w:rFonts w:ascii="Times New Roman" w:eastAsia="Times New Roman" w:hAnsi="Times New Roman" w:cs="Times New Roman"/>
          <w:sz w:val="24"/>
          <w:szCs w:val="24"/>
          <w:lang w:val="en-US" w:eastAsia="ru-RU"/>
        </w:rPr>
        <w:br/>
        <w:t>– optimization of tax burden and the structure of mandatory payments.</w:t>
      </w:r>
    </w:p>
    <w:p w14:paraId="352C56A6"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high level of agreement among experts confirms the appropriateness of using expert-analytical methods as a key tool for assessing the effectiveness of tax system digitalization and the quality of interactive tax services.</w:t>
      </w:r>
    </w:p>
    <w:p w14:paraId="0104ED0F"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Based on the findings, the study proposes the following priority directions for improving digital tax transformation in Uzbekistan:</w:t>
      </w:r>
    </w:p>
    <w:p w14:paraId="35070841" w14:textId="77777777" w:rsidR="00013888" w:rsidRPr="006B64B6" w:rsidRDefault="00013888" w:rsidP="006B64B6">
      <w:pPr>
        <w:numPr>
          <w:ilvl w:val="0"/>
          <w:numId w:val="8"/>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Institutionalization of expert monitoring of digital reforms;</w:t>
      </w:r>
    </w:p>
    <w:p w14:paraId="69D47B1B" w14:textId="77777777" w:rsidR="00013888" w:rsidRPr="006B64B6" w:rsidRDefault="00013888" w:rsidP="006B64B6">
      <w:pPr>
        <w:numPr>
          <w:ilvl w:val="0"/>
          <w:numId w:val="8"/>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Centralization and integration of tax data infrastructure;</w:t>
      </w:r>
    </w:p>
    <w:p w14:paraId="1783A9D1" w14:textId="77777777" w:rsidR="00013888" w:rsidRPr="006B64B6" w:rsidRDefault="00013888" w:rsidP="006B64B6">
      <w:pPr>
        <w:numPr>
          <w:ilvl w:val="0"/>
          <w:numId w:val="8"/>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Development of user-oriented interactive tax services;</w:t>
      </w:r>
    </w:p>
    <w:p w14:paraId="31168168" w14:textId="77777777" w:rsidR="00013888" w:rsidRPr="006B64B6" w:rsidRDefault="00013888" w:rsidP="006B64B6">
      <w:pPr>
        <w:numPr>
          <w:ilvl w:val="0"/>
          <w:numId w:val="8"/>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Harmonization of the legal framework with international digital tax standards;</w:t>
      </w:r>
    </w:p>
    <w:p w14:paraId="476F3B63" w14:textId="77777777" w:rsidR="00013888" w:rsidRPr="006B64B6" w:rsidRDefault="00013888" w:rsidP="006B64B6">
      <w:pPr>
        <w:numPr>
          <w:ilvl w:val="0"/>
          <w:numId w:val="8"/>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Support for domestic IT solution developers;</w:t>
      </w:r>
    </w:p>
    <w:p w14:paraId="11461F2F" w14:textId="77777777" w:rsidR="00013888" w:rsidRPr="006B64B6" w:rsidRDefault="00013888" w:rsidP="006B64B6">
      <w:pPr>
        <w:numPr>
          <w:ilvl w:val="0"/>
          <w:numId w:val="8"/>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Improvement of investment efficiency in digitalization projects;</w:t>
      </w:r>
    </w:p>
    <w:p w14:paraId="4A26F5DC" w14:textId="77777777" w:rsidR="00013888" w:rsidRPr="006B64B6" w:rsidRDefault="00013888" w:rsidP="006B64B6">
      <w:pPr>
        <w:numPr>
          <w:ilvl w:val="0"/>
          <w:numId w:val="8"/>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Implementation of independent evaluation and external audit mechanisms;</w:t>
      </w:r>
    </w:p>
    <w:p w14:paraId="53B2E412" w14:textId="77777777" w:rsidR="00013888" w:rsidRPr="006B64B6" w:rsidRDefault="00013888" w:rsidP="006B64B6">
      <w:pPr>
        <w:numPr>
          <w:ilvl w:val="0"/>
          <w:numId w:val="8"/>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Integration of the national tax information system into the global digital data exchange environment.</w:t>
      </w:r>
    </w:p>
    <w:p w14:paraId="10E456A4" w14:textId="5A4E0E0E"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lastRenderedPageBreak/>
        <w:t>Overall, the findings confirm that digital transformation of the tax system of the Republic of Uzbekistan has significant potential to enhance public administration efficiency, fiscal transparency, and taxpayer trust. A key element of this transformation is the integrated digital infrastructure of tax administration, including the Unified Information and Settlement Center, which ensures technological resilience, transparency of tax processes, and improved quality of public services in taxation</w:t>
      </w:r>
      <w:r w:rsidR="00C84554">
        <w:rPr>
          <w:rFonts w:ascii="Times New Roman" w:eastAsia="Times New Roman" w:hAnsi="Times New Roman" w:cs="Times New Roman"/>
          <w:sz w:val="24"/>
          <w:szCs w:val="24"/>
          <w:lang w:val="en-US" w:eastAsia="ru-RU"/>
        </w:rPr>
        <w:t xml:space="preserve"> [6-11].</w:t>
      </w:r>
    </w:p>
    <w:p w14:paraId="209DD7C4" w14:textId="77777777" w:rsidR="00013888" w:rsidRPr="00E270FF" w:rsidRDefault="00013888" w:rsidP="00013888">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E270FF">
        <w:rPr>
          <w:rFonts w:ascii="Times New Roman" w:eastAsia="Times New Roman" w:hAnsi="Times New Roman" w:cs="Times New Roman"/>
          <w:b/>
          <w:bCs/>
          <w:sz w:val="24"/>
          <w:szCs w:val="24"/>
          <w:lang w:val="en-US" w:eastAsia="ru-RU"/>
        </w:rPr>
        <w:t>DISCUSSION</w:t>
      </w:r>
    </w:p>
    <w:p w14:paraId="626B2EE0" w14:textId="77777777" w:rsidR="00013888" w:rsidRPr="000348E1" w:rsidRDefault="00013888" w:rsidP="006B64B6">
      <w:p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In the context of accelerated digitalization of the economy, the tax system of the Republic of Uzbekistan is undergoing a profound institutional and technological transformation aimed at automating administrative procedures, enhancing fiscal transparency, and expanding the range of digital public services. The current stage of development is characterized by a transition from traditional control and accounting tools to intelligent digital platforms capable of processing large-scale data, forecasting tax revenues, and supporting real-time decision-making.</w:t>
      </w:r>
    </w:p>
    <w:p w14:paraId="44F23BD0" w14:textId="77777777" w:rsidR="00013888" w:rsidRPr="000348E1" w:rsidRDefault="00013888" w:rsidP="006B64B6">
      <w:p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The digital transformation of tax administration is implemented within the strategic framework of national digital economy and e-government development policies. In this context, modernization of technological infrastructure is closely linked with the growing importance of expert capital as a key driver of effective digital reforms.</w:t>
      </w:r>
    </w:p>
    <w:p w14:paraId="1BED7EBF" w14:textId="77777777" w:rsidR="00013888" w:rsidRPr="000348E1" w:rsidRDefault="00013888" w:rsidP="006B64B6">
      <w:pPr>
        <w:spacing w:after="0" w:line="276" w:lineRule="auto"/>
        <w:jc w:val="both"/>
        <w:rPr>
          <w:rFonts w:ascii="Times New Roman" w:eastAsia="Times New Roman" w:hAnsi="Times New Roman" w:cs="Times New Roman"/>
          <w:sz w:val="24"/>
          <w:szCs w:val="24"/>
          <w:lang w:eastAsia="ru-RU"/>
        </w:rPr>
      </w:pPr>
      <w:r w:rsidRPr="000348E1">
        <w:rPr>
          <w:rFonts w:ascii="Times New Roman" w:eastAsia="Times New Roman" w:hAnsi="Times New Roman" w:cs="Times New Roman"/>
          <w:sz w:val="24"/>
          <w:szCs w:val="24"/>
          <w:lang w:val="en-US" w:eastAsia="ru-RU"/>
        </w:rPr>
        <w:t xml:space="preserve">The study substantiates the systemic role of expert-analytical methods in managing digital transformation. </w:t>
      </w:r>
      <w:proofErr w:type="spellStart"/>
      <w:r w:rsidRPr="000348E1">
        <w:rPr>
          <w:rFonts w:ascii="Times New Roman" w:eastAsia="Times New Roman" w:hAnsi="Times New Roman" w:cs="Times New Roman"/>
          <w:sz w:val="24"/>
          <w:szCs w:val="24"/>
          <w:lang w:eastAsia="ru-RU"/>
        </w:rPr>
        <w:t>Three</w:t>
      </w:r>
      <w:proofErr w:type="spellEnd"/>
      <w:r w:rsidRPr="000348E1">
        <w:rPr>
          <w:rFonts w:ascii="Times New Roman" w:eastAsia="Times New Roman" w:hAnsi="Times New Roman" w:cs="Times New Roman"/>
          <w:sz w:val="24"/>
          <w:szCs w:val="24"/>
          <w:lang w:eastAsia="ru-RU"/>
        </w:rPr>
        <w:t xml:space="preserve"> </w:t>
      </w:r>
      <w:proofErr w:type="spellStart"/>
      <w:r w:rsidRPr="000348E1">
        <w:rPr>
          <w:rFonts w:ascii="Times New Roman" w:eastAsia="Times New Roman" w:hAnsi="Times New Roman" w:cs="Times New Roman"/>
          <w:sz w:val="24"/>
          <w:szCs w:val="24"/>
          <w:lang w:eastAsia="ru-RU"/>
        </w:rPr>
        <w:t>key</w:t>
      </w:r>
      <w:proofErr w:type="spellEnd"/>
      <w:r w:rsidRPr="000348E1">
        <w:rPr>
          <w:rFonts w:ascii="Times New Roman" w:eastAsia="Times New Roman" w:hAnsi="Times New Roman" w:cs="Times New Roman"/>
          <w:sz w:val="24"/>
          <w:szCs w:val="24"/>
          <w:lang w:eastAsia="ru-RU"/>
        </w:rPr>
        <w:t xml:space="preserve"> </w:t>
      </w:r>
      <w:proofErr w:type="spellStart"/>
      <w:r w:rsidRPr="000348E1">
        <w:rPr>
          <w:rFonts w:ascii="Times New Roman" w:eastAsia="Times New Roman" w:hAnsi="Times New Roman" w:cs="Times New Roman"/>
          <w:sz w:val="24"/>
          <w:szCs w:val="24"/>
          <w:lang w:eastAsia="ru-RU"/>
        </w:rPr>
        <w:t>analytical</w:t>
      </w:r>
      <w:proofErr w:type="spellEnd"/>
      <w:r w:rsidRPr="000348E1">
        <w:rPr>
          <w:rFonts w:ascii="Times New Roman" w:eastAsia="Times New Roman" w:hAnsi="Times New Roman" w:cs="Times New Roman"/>
          <w:sz w:val="24"/>
          <w:szCs w:val="24"/>
          <w:lang w:eastAsia="ru-RU"/>
        </w:rPr>
        <w:t xml:space="preserve"> </w:t>
      </w:r>
      <w:proofErr w:type="spellStart"/>
      <w:r w:rsidRPr="000348E1">
        <w:rPr>
          <w:rFonts w:ascii="Times New Roman" w:eastAsia="Times New Roman" w:hAnsi="Times New Roman" w:cs="Times New Roman"/>
          <w:sz w:val="24"/>
          <w:szCs w:val="24"/>
          <w:lang w:eastAsia="ru-RU"/>
        </w:rPr>
        <w:t>dimensions</w:t>
      </w:r>
      <w:proofErr w:type="spellEnd"/>
      <w:r w:rsidRPr="000348E1">
        <w:rPr>
          <w:rFonts w:ascii="Times New Roman" w:eastAsia="Times New Roman" w:hAnsi="Times New Roman" w:cs="Times New Roman"/>
          <w:sz w:val="24"/>
          <w:szCs w:val="24"/>
          <w:lang w:eastAsia="ru-RU"/>
        </w:rPr>
        <w:t xml:space="preserve"> </w:t>
      </w:r>
      <w:proofErr w:type="spellStart"/>
      <w:r w:rsidRPr="000348E1">
        <w:rPr>
          <w:rFonts w:ascii="Times New Roman" w:eastAsia="Times New Roman" w:hAnsi="Times New Roman" w:cs="Times New Roman"/>
          <w:sz w:val="24"/>
          <w:szCs w:val="24"/>
          <w:lang w:eastAsia="ru-RU"/>
        </w:rPr>
        <w:t>of</w:t>
      </w:r>
      <w:proofErr w:type="spellEnd"/>
      <w:r w:rsidRPr="000348E1">
        <w:rPr>
          <w:rFonts w:ascii="Times New Roman" w:eastAsia="Times New Roman" w:hAnsi="Times New Roman" w:cs="Times New Roman"/>
          <w:sz w:val="24"/>
          <w:szCs w:val="24"/>
          <w:lang w:eastAsia="ru-RU"/>
        </w:rPr>
        <w:t xml:space="preserve"> </w:t>
      </w:r>
      <w:proofErr w:type="spellStart"/>
      <w:r w:rsidRPr="000348E1">
        <w:rPr>
          <w:rFonts w:ascii="Times New Roman" w:eastAsia="Times New Roman" w:hAnsi="Times New Roman" w:cs="Times New Roman"/>
          <w:sz w:val="24"/>
          <w:szCs w:val="24"/>
          <w:lang w:eastAsia="ru-RU"/>
        </w:rPr>
        <w:t>expert</w:t>
      </w:r>
      <w:proofErr w:type="spellEnd"/>
      <w:r w:rsidRPr="000348E1">
        <w:rPr>
          <w:rFonts w:ascii="Times New Roman" w:eastAsia="Times New Roman" w:hAnsi="Times New Roman" w:cs="Times New Roman"/>
          <w:sz w:val="24"/>
          <w:szCs w:val="24"/>
          <w:lang w:eastAsia="ru-RU"/>
        </w:rPr>
        <w:t xml:space="preserve"> </w:t>
      </w:r>
      <w:proofErr w:type="spellStart"/>
      <w:r w:rsidRPr="000348E1">
        <w:rPr>
          <w:rFonts w:ascii="Times New Roman" w:eastAsia="Times New Roman" w:hAnsi="Times New Roman" w:cs="Times New Roman"/>
          <w:sz w:val="24"/>
          <w:szCs w:val="24"/>
          <w:lang w:eastAsia="ru-RU"/>
        </w:rPr>
        <w:t>influence</w:t>
      </w:r>
      <w:proofErr w:type="spellEnd"/>
      <w:r w:rsidRPr="000348E1">
        <w:rPr>
          <w:rFonts w:ascii="Times New Roman" w:eastAsia="Times New Roman" w:hAnsi="Times New Roman" w:cs="Times New Roman"/>
          <w:sz w:val="24"/>
          <w:szCs w:val="24"/>
          <w:lang w:eastAsia="ru-RU"/>
        </w:rPr>
        <w:t xml:space="preserve"> </w:t>
      </w:r>
      <w:proofErr w:type="spellStart"/>
      <w:r w:rsidRPr="000348E1">
        <w:rPr>
          <w:rFonts w:ascii="Times New Roman" w:eastAsia="Times New Roman" w:hAnsi="Times New Roman" w:cs="Times New Roman"/>
          <w:sz w:val="24"/>
          <w:szCs w:val="24"/>
          <w:lang w:eastAsia="ru-RU"/>
        </w:rPr>
        <w:t>were</w:t>
      </w:r>
      <w:proofErr w:type="spellEnd"/>
      <w:r w:rsidRPr="000348E1">
        <w:rPr>
          <w:rFonts w:ascii="Times New Roman" w:eastAsia="Times New Roman" w:hAnsi="Times New Roman" w:cs="Times New Roman"/>
          <w:sz w:val="24"/>
          <w:szCs w:val="24"/>
          <w:lang w:eastAsia="ru-RU"/>
        </w:rPr>
        <w:t xml:space="preserve"> </w:t>
      </w:r>
      <w:proofErr w:type="spellStart"/>
      <w:r w:rsidRPr="000348E1">
        <w:rPr>
          <w:rFonts w:ascii="Times New Roman" w:eastAsia="Times New Roman" w:hAnsi="Times New Roman" w:cs="Times New Roman"/>
          <w:sz w:val="24"/>
          <w:szCs w:val="24"/>
          <w:lang w:eastAsia="ru-RU"/>
        </w:rPr>
        <w:t>identified</w:t>
      </w:r>
      <w:proofErr w:type="spellEnd"/>
      <w:r w:rsidRPr="000348E1">
        <w:rPr>
          <w:rFonts w:ascii="Times New Roman" w:eastAsia="Times New Roman" w:hAnsi="Times New Roman" w:cs="Times New Roman"/>
          <w:sz w:val="24"/>
          <w:szCs w:val="24"/>
          <w:lang w:eastAsia="ru-RU"/>
        </w:rPr>
        <w:t>:</w:t>
      </w:r>
    </w:p>
    <w:p w14:paraId="0124133F" w14:textId="77777777" w:rsidR="00013888" w:rsidRPr="000348E1" w:rsidRDefault="00013888" w:rsidP="006B64B6">
      <w:pPr>
        <w:numPr>
          <w:ilvl w:val="0"/>
          <w:numId w:val="10"/>
        </w:num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the impact of expert assessments on the quality of digital project management;</w:t>
      </w:r>
    </w:p>
    <w:p w14:paraId="600311A8" w14:textId="77777777" w:rsidR="00013888" w:rsidRPr="000348E1" w:rsidRDefault="00013888" w:rsidP="006B64B6">
      <w:pPr>
        <w:numPr>
          <w:ilvl w:val="0"/>
          <w:numId w:val="10"/>
        </w:num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the role of expert evaluations in improving operational and regulatory efficiency of tax administration;</w:t>
      </w:r>
    </w:p>
    <w:p w14:paraId="70C93598" w14:textId="77777777" w:rsidR="00013888" w:rsidRPr="000348E1" w:rsidRDefault="00013888" w:rsidP="006B64B6">
      <w:pPr>
        <w:numPr>
          <w:ilvl w:val="0"/>
          <w:numId w:val="10"/>
        </w:num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the identification of institutional constraints and risks in the application of expert procedures.</w:t>
      </w:r>
    </w:p>
    <w:p w14:paraId="7219EC2C" w14:textId="77777777" w:rsidR="00013888" w:rsidRPr="000348E1" w:rsidRDefault="00013888" w:rsidP="006B64B6">
      <w:p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The methodological framework integrates quantitative statistical analysis with qualitative expert evaluation, ensuring the robustness and comprehensiveness of the findings. The empirical results confirm that expert assessments perform a strategic function in validating managerial decisions and adapting digital technologies to institutional conditions and taxpayer needs.</w:t>
      </w:r>
    </w:p>
    <w:p w14:paraId="678639CF" w14:textId="2C0870CB" w:rsidR="00013888" w:rsidRPr="000348E1" w:rsidRDefault="00013888" w:rsidP="006B64B6">
      <w:p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The high level of expert agreement identified in the empirical study indicates that expert evaluation can serve as a reliable indicator of digital reform effectiveness. The pilot study results demonstrate that systematic use of expert methods improves the performance of interactive tax services and optimizes administrative processes</w:t>
      </w:r>
      <w:r w:rsidR="00C84554">
        <w:rPr>
          <w:rFonts w:ascii="Times New Roman" w:eastAsia="Times New Roman" w:hAnsi="Times New Roman" w:cs="Times New Roman"/>
          <w:sz w:val="24"/>
          <w:szCs w:val="24"/>
          <w:lang w:val="en-US" w:eastAsia="ru-RU"/>
        </w:rPr>
        <w:t xml:space="preserve"> [1-9].</w:t>
      </w:r>
    </w:p>
    <w:p w14:paraId="2364B4B6" w14:textId="77777777" w:rsidR="00013888" w:rsidRPr="000348E1" w:rsidRDefault="00013888" w:rsidP="00C42166">
      <w:pPr>
        <w:spacing w:after="0" w:line="276" w:lineRule="auto"/>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The application of expert-analytical methods generates several functional effects:</w:t>
      </w:r>
    </w:p>
    <w:p w14:paraId="69755CEB" w14:textId="77777777" w:rsidR="00013888" w:rsidRPr="000348E1" w:rsidRDefault="00013888" w:rsidP="00C42166">
      <w:pPr>
        <w:spacing w:after="0" w:line="276" w:lineRule="auto"/>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 diagnostic effect — identification of technological and organizational gaps;</w:t>
      </w:r>
      <w:r w:rsidRPr="000348E1">
        <w:rPr>
          <w:rFonts w:ascii="Times New Roman" w:eastAsia="Times New Roman" w:hAnsi="Times New Roman" w:cs="Times New Roman"/>
          <w:sz w:val="24"/>
          <w:szCs w:val="24"/>
          <w:lang w:val="en-US" w:eastAsia="ru-RU"/>
        </w:rPr>
        <w:br/>
        <w:t>– adaptive effect — adjustment of digital platform architecture;</w:t>
      </w:r>
      <w:r w:rsidRPr="000348E1">
        <w:rPr>
          <w:rFonts w:ascii="Times New Roman" w:eastAsia="Times New Roman" w:hAnsi="Times New Roman" w:cs="Times New Roman"/>
          <w:sz w:val="24"/>
          <w:szCs w:val="24"/>
          <w:lang w:val="en-US" w:eastAsia="ru-RU"/>
        </w:rPr>
        <w:br/>
        <w:t>– managerial effect — improvement of decision-making quality;</w:t>
      </w:r>
      <w:r w:rsidRPr="000348E1">
        <w:rPr>
          <w:rFonts w:ascii="Times New Roman" w:eastAsia="Times New Roman" w:hAnsi="Times New Roman" w:cs="Times New Roman"/>
          <w:sz w:val="24"/>
          <w:szCs w:val="24"/>
          <w:lang w:val="en-US" w:eastAsia="ru-RU"/>
        </w:rPr>
        <w:br/>
        <w:t>– regulatory effect — alignment with legal frameworks;</w:t>
      </w:r>
      <w:r w:rsidRPr="000348E1">
        <w:rPr>
          <w:rFonts w:ascii="Times New Roman" w:eastAsia="Times New Roman" w:hAnsi="Times New Roman" w:cs="Times New Roman"/>
          <w:sz w:val="24"/>
          <w:szCs w:val="24"/>
          <w:lang w:val="en-US" w:eastAsia="ru-RU"/>
        </w:rPr>
        <w:br/>
        <w:t>– institutional effect — strengthening taxpayer trust.</w:t>
      </w:r>
    </w:p>
    <w:p w14:paraId="567A830E" w14:textId="77777777" w:rsidR="00013888" w:rsidRPr="000348E1" w:rsidRDefault="00013888" w:rsidP="006B64B6">
      <w:p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The adoption of Government Resolution No. 359 (June 5, 2020) marked a significant milestone in institutional modernization of the tax system, enabling modernization of data processing centers and consolidation of digital tax infrastructure.</w:t>
      </w:r>
    </w:p>
    <w:p w14:paraId="35028834" w14:textId="77777777" w:rsidR="00013888" w:rsidRPr="000348E1" w:rsidRDefault="00013888" w:rsidP="006B64B6">
      <w:p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 xml:space="preserve">Implementation of Big Data technologies and analytical platforms significantly reduced administrative costs, increased tax control efficiency, and contributed to reducing the shadow </w:t>
      </w:r>
      <w:r w:rsidRPr="000348E1">
        <w:rPr>
          <w:rFonts w:ascii="Times New Roman" w:eastAsia="Times New Roman" w:hAnsi="Times New Roman" w:cs="Times New Roman"/>
          <w:sz w:val="24"/>
          <w:szCs w:val="24"/>
          <w:lang w:val="en-US" w:eastAsia="ru-RU"/>
        </w:rPr>
        <w:lastRenderedPageBreak/>
        <w:t>economy. The development of digital services (my.soliq.uz, my.gov.uz, lex.uz) enhanced transparency and expanded access to public services.</w:t>
      </w:r>
    </w:p>
    <w:p w14:paraId="3D2FFDBF" w14:textId="77777777" w:rsidR="00013888" w:rsidRPr="000348E1" w:rsidRDefault="00013888" w:rsidP="006B64B6">
      <w:p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At the same time, expert methods have limitations, including subjectivity, insufficient standardization, and potential bias. Therefore, the use of structured methodologies such as Delphi techniques, multi-criteria evaluation, and integration with AI-based analytics is recommended.</w:t>
      </w:r>
    </w:p>
    <w:p w14:paraId="75264D78" w14:textId="48FE54DD" w:rsidR="00013888" w:rsidRPr="000348E1" w:rsidRDefault="00013888" w:rsidP="006B64B6">
      <w:pPr>
        <w:spacing w:after="0" w:line="276" w:lineRule="auto"/>
        <w:jc w:val="both"/>
        <w:rPr>
          <w:rFonts w:ascii="Times New Roman" w:eastAsia="Times New Roman" w:hAnsi="Times New Roman" w:cs="Times New Roman"/>
          <w:sz w:val="24"/>
          <w:szCs w:val="24"/>
          <w:lang w:val="en-US" w:eastAsia="ru-RU"/>
        </w:rPr>
      </w:pPr>
      <w:r w:rsidRPr="000348E1">
        <w:rPr>
          <w:rFonts w:ascii="Times New Roman" w:eastAsia="Times New Roman" w:hAnsi="Times New Roman" w:cs="Times New Roman"/>
          <w:sz w:val="24"/>
          <w:szCs w:val="24"/>
          <w:lang w:val="en-US" w:eastAsia="ru-RU"/>
        </w:rPr>
        <w:t>Overall, the findings confirm that the integration of expert-analytical methods into the governance of digital transformation of Uzbekistan’s tax system is a necessary condition for improving efficiency, sustainability, and compliance with international standards of digital tax administration</w:t>
      </w:r>
      <w:r w:rsidR="00C84554">
        <w:rPr>
          <w:rFonts w:ascii="Times New Roman" w:eastAsia="Times New Roman" w:hAnsi="Times New Roman" w:cs="Times New Roman"/>
          <w:sz w:val="24"/>
          <w:szCs w:val="24"/>
          <w:lang w:val="en-US" w:eastAsia="ru-RU"/>
        </w:rPr>
        <w:t xml:space="preserve"> [5-11].</w:t>
      </w:r>
    </w:p>
    <w:p w14:paraId="353A2461" w14:textId="77777777" w:rsidR="00013888" w:rsidRPr="00E270FF" w:rsidRDefault="00013888" w:rsidP="00013888">
      <w:pPr>
        <w:spacing w:before="100" w:beforeAutospacing="1" w:after="100" w:afterAutospacing="1" w:line="240" w:lineRule="auto"/>
        <w:outlineLvl w:val="1"/>
        <w:rPr>
          <w:rFonts w:ascii="Times New Roman" w:eastAsia="Times New Roman" w:hAnsi="Times New Roman" w:cs="Times New Roman"/>
          <w:b/>
          <w:bCs/>
          <w:sz w:val="24"/>
          <w:szCs w:val="24"/>
          <w:lang w:val="en-US" w:eastAsia="ru-RU"/>
        </w:rPr>
      </w:pPr>
      <w:r w:rsidRPr="00E270FF">
        <w:rPr>
          <w:rFonts w:ascii="Times New Roman" w:eastAsia="Times New Roman" w:hAnsi="Times New Roman" w:cs="Times New Roman"/>
          <w:b/>
          <w:bCs/>
          <w:sz w:val="24"/>
          <w:szCs w:val="24"/>
          <w:lang w:val="en-US" w:eastAsia="ru-RU"/>
        </w:rPr>
        <w:t>CONCLUSION</w:t>
      </w:r>
    </w:p>
    <w:p w14:paraId="12925EBB"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study provides a scientific justification that the application of expert-analytical methods, based on formalized procedures, standardized principles, and their integration with quantitative analytical tools, represents a key factor in enhancing the effectiveness of the digital transformation of the tax system of the Republic of Uzbekistan. The comprehensive use of expert assessments improves the validity of managerial decision-making, strengthens tax control mechanisms, promotes risk-based administration, and facilitates the adaptation of digital tax services to regulatory requirements and taxpayer expectations.</w:t>
      </w:r>
    </w:p>
    <w:p w14:paraId="1448D5F9"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findings confirm that achieving sustainable and reproducible outcomes of digital transformation requires minimizing subjectivity in expert judgments, standardizing expert procedures, and integrating them with intelligent analytical systems. Transparency of procedures, formalization of expert activities, and their institutional integration into public governance structures are essential conditions for the effectiveness of expert mechanisms.</w:t>
      </w:r>
    </w:p>
    <w:p w14:paraId="4945611C"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research demonstrates that expert methods create an effective feedback mechanism that ensures controllability of digitalization processes, monitoring of interactive tax service quality, and improvement of institutional performance of tax authorities. In the context of the digital economy, the development of human capital—particularly specialists in IT, data analytics, legal regulation, and cybersecurity—is a critical prerequisite for the sustainable functioning of a digital tax system.</w:t>
      </w:r>
    </w:p>
    <w:p w14:paraId="05AB5D18"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The analysis of institutional and technological conditions indicates that Uzbekistan possesses sufficient resources to further advance the digital transformation of the tax sector. Government support for digitalization, ongoing regulatory reforms, and consistent economic policy create favorable conditions for implementing innovative tax administration models aligned with international standards of digital governance.</w:t>
      </w:r>
    </w:p>
    <w:p w14:paraId="1A1F271B"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Within the framework of digital transformation, expert-analytical methods perform interrelated diagnostic, analytical, and adaptive functions, ensuring coherence between technological, organizational, and institutional components of the tax system. To enhance the effectiveness of expert activities, the following directions are recommended:</w:t>
      </w:r>
    </w:p>
    <w:p w14:paraId="382BF1EE" w14:textId="77777777" w:rsidR="00013888" w:rsidRPr="006B64B6" w:rsidRDefault="00013888" w:rsidP="006B64B6">
      <w:pPr>
        <w:numPr>
          <w:ilvl w:val="0"/>
          <w:numId w:val="12"/>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standardization of expert evaluation procedures based on unified methodological frameworks;</w:t>
      </w:r>
    </w:p>
    <w:p w14:paraId="08ECF701" w14:textId="77777777" w:rsidR="00013888" w:rsidRPr="006B64B6" w:rsidRDefault="00013888" w:rsidP="006B64B6">
      <w:pPr>
        <w:numPr>
          <w:ilvl w:val="0"/>
          <w:numId w:val="12"/>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establishment of a national registry of certified experts with qualification and rotation mechanisms;</w:t>
      </w:r>
    </w:p>
    <w:p w14:paraId="05CC960B" w14:textId="77777777" w:rsidR="00013888" w:rsidRPr="006B64B6" w:rsidRDefault="00013888" w:rsidP="006B64B6">
      <w:pPr>
        <w:numPr>
          <w:ilvl w:val="0"/>
          <w:numId w:val="12"/>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institutionalization of expert participation at all stages of digital transformation;</w:t>
      </w:r>
    </w:p>
    <w:p w14:paraId="14A4CBB6" w14:textId="77777777" w:rsidR="00013888" w:rsidRPr="006B64B6" w:rsidRDefault="00013888" w:rsidP="006B64B6">
      <w:pPr>
        <w:numPr>
          <w:ilvl w:val="0"/>
          <w:numId w:val="12"/>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integration of expert conclusions with digital analytics platforms and machine learning algorithms;</w:t>
      </w:r>
    </w:p>
    <w:p w14:paraId="1127C2F0" w14:textId="77777777" w:rsidR="00013888" w:rsidRPr="006B64B6" w:rsidRDefault="00013888" w:rsidP="006B64B6">
      <w:pPr>
        <w:numPr>
          <w:ilvl w:val="0"/>
          <w:numId w:val="12"/>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lastRenderedPageBreak/>
        <w:t>ensuring transparency and independence of expert processes while maintaining data security and confidentiality;</w:t>
      </w:r>
    </w:p>
    <w:p w14:paraId="3D6E1F0B" w14:textId="77777777" w:rsidR="00013888" w:rsidRPr="006B64B6" w:rsidRDefault="00013888" w:rsidP="006B64B6">
      <w:pPr>
        <w:numPr>
          <w:ilvl w:val="0"/>
          <w:numId w:val="12"/>
        </w:num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development of professional training systems in digital tax analytics.</w:t>
      </w:r>
    </w:p>
    <w:p w14:paraId="44A9C921" w14:textId="77777777" w:rsidR="00013888" w:rsidRPr="006B64B6"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Future research should focus on experimental models for evaluating the effectiveness of formalized expert procedures, the development of integrated decision-support systems, and the application of cost-effectiveness models for assessing the impact of expert-based approaches on digital reform outcomes.</w:t>
      </w:r>
    </w:p>
    <w:p w14:paraId="4095D28D" w14:textId="5329EEF7" w:rsidR="00013888" w:rsidRPr="00C84554" w:rsidRDefault="00013888" w:rsidP="006B64B6">
      <w:pPr>
        <w:spacing w:after="0" w:line="276" w:lineRule="auto"/>
        <w:jc w:val="both"/>
        <w:rPr>
          <w:rFonts w:ascii="Times New Roman" w:eastAsia="Times New Roman" w:hAnsi="Times New Roman" w:cs="Times New Roman"/>
          <w:sz w:val="24"/>
          <w:szCs w:val="24"/>
          <w:lang w:val="en-US" w:eastAsia="ru-RU"/>
        </w:rPr>
      </w:pPr>
      <w:r w:rsidRPr="006B64B6">
        <w:rPr>
          <w:rFonts w:ascii="Times New Roman" w:eastAsia="Times New Roman" w:hAnsi="Times New Roman" w:cs="Times New Roman"/>
          <w:sz w:val="24"/>
          <w:szCs w:val="24"/>
          <w:lang w:val="en-US" w:eastAsia="ru-RU"/>
        </w:rPr>
        <w:t>Overall, the study confirms that the development of expert assessment institutions is a strategically important direction in building an intelligent digital tax ecosystem in Uzbekistan. The integration of expert-analytical tools into digital transformation governance enhances transparency, sustainability, and efficiency of the tax system, strengthens taxpayer trust, and supports the achievement of long-term fiscal policy objectives in the digital economy</w:t>
      </w:r>
      <w:r w:rsidR="00C84554" w:rsidRPr="00C84554">
        <w:rPr>
          <w:rFonts w:ascii="Times New Roman" w:eastAsia="Times New Roman" w:hAnsi="Times New Roman" w:cs="Times New Roman"/>
          <w:sz w:val="24"/>
          <w:szCs w:val="24"/>
          <w:lang w:val="en-US" w:eastAsia="ru-RU"/>
        </w:rPr>
        <w:t xml:space="preserve"> </w:t>
      </w:r>
      <w:r w:rsidR="00C84554">
        <w:rPr>
          <w:rFonts w:ascii="Times New Roman" w:eastAsia="Times New Roman" w:hAnsi="Times New Roman" w:cs="Times New Roman"/>
          <w:sz w:val="24"/>
          <w:szCs w:val="24"/>
          <w:lang w:val="en-US" w:eastAsia="ru-RU"/>
        </w:rPr>
        <w:t>[19-25].</w:t>
      </w:r>
    </w:p>
    <w:p w14:paraId="03BA1A49" w14:textId="34D648AC" w:rsidR="00E74C43" w:rsidRPr="00E270FF" w:rsidRDefault="00E74C43" w:rsidP="00E74C43">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ru-RU"/>
        </w:rPr>
      </w:pPr>
      <w:r w:rsidRPr="00C84554">
        <w:rPr>
          <w:rFonts w:ascii="Times New Roman" w:eastAsia="Times New Roman" w:hAnsi="Times New Roman" w:cs="Times New Roman"/>
          <w:b/>
          <w:bCs/>
          <w:kern w:val="36"/>
          <w:sz w:val="28"/>
          <w:szCs w:val="28"/>
          <w:lang w:val="en-US" w:eastAsia="ru-RU"/>
        </w:rPr>
        <w:t xml:space="preserve">                                          </w:t>
      </w:r>
      <w:r w:rsidRPr="00E270FF">
        <w:rPr>
          <w:rFonts w:ascii="Times New Roman" w:eastAsia="Times New Roman" w:hAnsi="Times New Roman" w:cs="Times New Roman"/>
          <w:b/>
          <w:bCs/>
          <w:kern w:val="36"/>
          <w:sz w:val="24"/>
          <w:szCs w:val="24"/>
          <w:lang w:val="en-US" w:eastAsia="ru-RU"/>
        </w:rPr>
        <w:t xml:space="preserve">REFERENCES </w:t>
      </w:r>
    </w:p>
    <w:p w14:paraId="1B1C0B7A"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E74C43">
        <w:rPr>
          <w:rFonts w:ascii="Times New Roman" w:eastAsia="Times New Roman" w:hAnsi="Times New Roman" w:cs="Times New Roman"/>
          <w:sz w:val="24"/>
          <w:szCs w:val="24"/>
          <w:lang w:val="en-US" w:eastAsia="ru-RU"/>
        </w:rPr>
        <w:t>Tax Code of the Republic of Uzbekistan. Law No. ZRQ-599, December 30, 2019.</w:t>
      </w:r>
    </w:p>
    <w:p w14:paraId="1DF10A62"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E74C43">
        <w:rPr>
          <w:rFonts w:ascii="Times New Roman" w:eastAsia="Times New Roman" w:hAnsi="Times New Roman" w:cs="Times New Roman"/>
          <w:sz w:val="24"/>
          <w:szCs w:val="24"/>
          <w:lang w:val="en-US" w:eastAsia="ru-RU"/>
        </w:rPr>
        <w:t>Resolution of the Cabinet of Ministers of the Republic of Uzbekistan No. 359 “On additional measures to expand the use of modern information technologies in the tax system”, June 5, 2020.</w:t>
      </w:r>
    </w:p>
    <w:p w14:paraId="43281AE2"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r w:rsidRPr="00E74C43">
        <w:rPr>
          <w:rFonts w:ascii="Times New Roman" w:eastAsia="Times New Roman" w:hAnsi="Times New Roman" w:cs="Times New Roman"/>
          <w:sz w:val="24"/>
          <w:szCs w:val="24"/>
          <w:lang w:val="en-US" w:eastAsia="ru-RU"/>
        </w:rPr>
        <w:t xml:space="preserve">Decree of the President of the Republic of Uzbekistan No. UP-5468, June 29, 2018. Available from: </w:t>
      </w:r>
      <w:hyperlink r:id="rId12" w:tgtFrame="_new" w:history="1">
        <w:r w:rsidRPr="00E74C43">
          <w:rPr>
            <w:rFonts w:ascii="Times New Roman" w:eastAsia="Times New Roman" w:hAnsi="Times New Roman" w:cs="Times New Roman"/>
            <w:color w:val="0000FF"/>
            <w:sz w:val="24"/>
            <w:szCs w:val="24"/>
            <w:u w:val="single"/>
            <w:lang w:val="en-US" w:eastAsia="ru-RU"/>
          </w:rPr>
          <w:t>https://www.lex.uz/ru/docs/3802374</w:t>
        </w:r>
      </w:hyperlink>
    </w:p>
    <w:p w14:paraId="749C1C4D"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E74C43">
        <w:rPr>
          <w:rFonts w:ascii="Times New Roman" w:eastAsia="Times New Roman" w:hAnsi="Times New Roman" w:cs="Times New Roman"/>
          <w:sz w:val="24"/>
          <w:szCs w:val="24"/>
          <w:lang w:val="en-US" w:eastAsia="ru-RU"/>
        </w:rPr>
        <w:t>Achilov</w:t>
      </w:r>
      <w:proofErr w:type="spellEnd"/>
      <w:r w:rsidRPr="00E74C43">
        <w:rPr>
          <w:rFonts w:ascii="Times New Roman" w:eastAsia="Times New Roman" w:hAnsi="Times New Roman" w:cs="Times New Roman"/>
          <w:sz w:val="24"/>
          <w:szCs w:val="24"/>
          <w:lang w:val="en-US" w:eastAsia="ru-RU"/>
        </w:rPr>
        <w:t xml:space="preserve"> SS. Expert method of implementation of ICT funds in the tax system. </w:t>
      </w:r>
      <w:r w:rsidRPr="00E74C43">
        <w:rPr>
          <w:rFonts w:ascii="Times New Roman" w:eastAsia="Times New Roman" w:hAnsi="Times New Roman" w:cs="Times New Roman"/>
          <w:i/>
          <w:iCs/>
          <w:sz w:val="24"/>
          <w:szCs w:val="24"/>
          <w:lang w:val="en-US" w:eastAsia="ru-RU"/>
        </w:rPr>
        <w:t>International Journal of Orange Technologies</w:t>
      </w:r>
      <w:r w:rsidRPr="00E74C43">
        <w:rPr>
          <w:rFonts w:ascii="Times New Roman" w:eastAsia="Times New Roman" w:hAnsi="Times New Roman" w:cs="Times New Roman"/>
          <w:sz w:val="24"/>
          <w:szCs w:val="24"/>
          <w:lang w:val="en-US" w:eastAsia="ru-RU"/>
        </w:rPr>
        <w:t xml:space="preserve">. 2022;4(7):23–32. Available from: </w:t>
      </w:r>
      <w:hyperlink r:id="rId13" w:tgtFrame="_new" w:history="1">
        <w:r w:rsidRPr="00E74C43">
          <w:rPr>
            <w:rFonts w:ascii="Times New Roman" w:eastAsia="Times New Roman" w:hAnsi="Times New Roman" w:cs="Times New Roman"/>
            <w:color w:val="0000FF"/>
            <w:sz w:val="24"/>
            <w:szCs w:val="24"/>
            <w:u w:val="single"/>
            <w:lang w:val="en-US" w:eastAsia="ru-RU"/>
          </w:rPr>
          <w:t>https://journals.researchparks.org/index.php/IJOT/article/view/3353</w:t>
        </w:r>
      </w:hyperlink>
    </w:p>
    <w:p w14:paraId="23F6ABC3"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E74C43">
        <w:rPr>
          <w:rFonts w:ascii="Times New Roman" w:eastAsia="Times New Roman" w:hAnsi="Times New Roman" w:cs="Times New Roman"/>
          <w:sz w:val="24"/>
          <w:szCs w:val="24"/>
          <w:lang w:val="en-US" w:eastAsia="ru-RU"/>
        </w:rPr>
        <w:t>Achilov</w:t>
      </w:r>
      <w:proofErr w:type="spellEnd"/>
      <w:r w:rsidRPr="00E74C43">
        <w:rPr>
          <w:rFonts w:ascii="Times New Roman" w:eastAsia="Times New Roman" w:hAnsi="Times New Roman" w:cs="Times New Roman"/>
          <w:sz w:val="24"/>
          <w:szCs w:val="24"/>
          <w:lang w:val="en-US" w:eastAsia="ru-RU"/>
        </w:rPr>
        <w:t xml:space="preserve"> SS. Effectiveness of digital technology implementation in the tax system of Uzbekistan. </w:t>
      </w:r>
      <w:r w:rsidRPr="00E74C43">
        <w:rPr>
          <w:rFonts w:ascii="Times New Roman" w:eastAsia="Times New Roman" w:hAnsi="Times New Roman" w:cs="Times New Roman"/>
          <w:i/>
          <w:iCs/>
          <w:sz w:val="24"/>
          <w:szCs w:val="24"/>
          <w:lang w:val="en-US" w:eastAsia="ru-RU"/>
        </w:rPr>
        <w:t>Central Asian Journal of Mathematical Theory and Computer Science</w:t>
      </w:r>
      <w:r w:rsidRPr="00E74C43">
        <w:rPr>
          <w:rFonts w:ascii="Times New Roman" w:eastAsia="Times New Roman" w:hAnsi="Times New Roman" w:cs="Times New Roman"/>
          <w:sz w:val="24"/>
          <w:szCs w:val="24"/>
          <w:lang w:val="en-US" w:eastAsia="ru-RU"/>
        </w:rPr>
        <w:t>. 2023;4(11):108–120.</w:t>
      </w:r>
    </w:p>
    <w:p w14:paraId="49281FFF"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Achilov</w:t>
      </w:r>
      <w:proofErr w:type="spellEnd"/>
      <w:r w:rsidRPr="00E74C43">
        <w:rPr>
          <w:rFonts w:ascii="Times New Roman" w:eastAsia="Times New Roman" w:hAnsi="Times New Roman" w:cs="Times New Roman"/>
          <w:sz w:val="24"/>
          <w:szCs w:val="24"/>
          <w:lang w:val="en-US" w:eastAsia="ru-RU"/>
        </w:rPr>
        <w:t xml:space="preserve"> SS, </w:t>
      </w:r>
      <w:proofErr w:type="spellStart"/>
      <w:r w:rsidRPr="00E74C43">
        <w:rPr>
          <w:rFonts w:ascii="Times New Roman" w:eastAsia="Times New Roman" w:hAnsi="Times New Roman" w:cs="Times New Roman"/>
          <w:sz w:val="24"/>
          <w:szCs w:val="24"/>
          <w:lang w:val="en-US" w:eastAsia="ru-RU"/>
        </w:rPr>
        <w:t>Abdugafarov</w:t>
      </w:r>
      <w:proofErr w:type="spellEnd"/>
      <w:r w:rsidRPr="00E74C43">
        <w:rPr>
          <w:rFonts w:ascii="Times New Roman" w:eastAsia="Times New Roman" w:hAnsi="Times New Roman" w:cs="Times New Roman"/>
          <w:sz w:val="24"/>
          <w:szCs w:val="24"/>
          <w:lang w:val="en-US" w:eastAsia="ru-RU"/>
        </w:rPr>
        <w:t xml:space="preserve"> A. Modern information technologies in the tax system of Uzbekistan and the use of the expert assessment method. </w:t>
      </w:r>
      <w:r w:rsidRPr="00E74C43">
        <w:rPr>
          <w:rFonts w:ascii="Times New Roman" w:eastAsia="Times New Roman" w:hAnsi="Times New Roman" w:cs="Times New Roman"/>
          <w:i/>
          <w:iCs/>
          <w:sz w:val="24"/>
          <w:szCs w:val="24"/>
          <w:lang w:eastAsia="ru-RU"/>
        </w:rPr>
        <w:t xml:space="preserve">Journal </w:t>
      </w:r>
      <w:proofErr w:type="spellStart"/>
      <w:r w:rsidRPr="00E74C43">
        <w:rPr>
          <w:rFonts w:ascii="Times New Roman" w:eastAsia="Times New Roman" w:hAnsi="Times New Roman" w:cs="Times New Roman"/>
          <w:i/>
          <w:iCs/>
          <w:sz w:val="24"/>
          <w:szCs w:val="24"/>
          <w:lang w:eastAsia="ru-RU"/>
        </w:rPr>
        <w:t>of</w:t>
      </w:r>
      <w:proofErr w:type="spellEnd"/>
      <w:r w:rsidRPr="00E74C43">
        <w:rPr>
          <w:rFonts w:ascii="Times New Roman" w:eastAsia="Times New Roman" w:hAnsi="Times New Roman" w:cs="Times New Roman"/>
          <w:i/>
          <w:iCs/>
          <w:sz w:val="24"/>
          <w:szCs w:val="24"/>
          <w:lang w:eastAsia="ru-RU"/>
        </w:rPr>
        <w:t xml:space="preserve"> Management, Value </w:t>
      </w:r>
      <w:proofErr w:type="spellStart"/>
      <w:r w:rsidRPr="00E74C43">
        <w:rPr>
          <w:rFonts w:ascii="Times New Roman" w:eastAsia="Times New Roman" w:hAnsi="Times New Roman" w:cs="Times New Roman"/>
          <w:i/>
          <w:iCs/>
          <w:sz w:val="24"/>
          <w:szCs w:val="24"/>
          <w:lang w:eastAsia="ru-RU"/>
        </w:rPr>
        <w:t>and</w:t>
      </w:r>
      <w:proofErr w:type="spellEnd"/>
      <w:r w:rsidRPr="00E74C43">
        <w:rPr>
          <w:rFonts w:ascii="Times New Roman" w:eastAsia="Times New Roman" w:hAnsi="Times New Roman" w:cs="Times New Roman"/>
          <w:i/>
          <w:iCs/>
          <w:sz w:val="24"/>
          <w:szCs w:val="24"/>
          <w:lang w:eastAsia="ru-RU"/>
        </w:rPr>
        <w:t xml:space="preserve"> </w:t>
      </w:r>
      <w:proofErr w:type="spellStart"/>
      <w:r w:rsidRPr="00E74C43">
        <w:rPr>
          <w:rFonts w:ascii="Times New Roman" w:eastAsia="Times New Roman" w:hAnsi="Times New Roman" w:cs="Times New Roman"/>
          <w:i/>
          <w:iCs/>
          <w:sz w:val="24"/>
          <w:szCs w:val="24"/>
          <w:lang w:eastAsia="ru-RU"/>
        </w:rPr>
        <w:t>Ethics</w:t>
      </w:r>
      <w:proofErr w:type="spellEnd"/>
      <w:r w:rsidRPr="00E74C43">
        <w:rPr>
          <w:rFonts w:ascii="Times New Roman" w:eastAsia="Times New Roman" w:hAnsi="Times New Roman" w:cs="Times New Roman"/>
          <w:sz w:val="24"/>
          <w:szCs w:val="24"/>
          <w:lang w:eastAsia="ru-RU"/>
        </w:rPr>
        <w:t>. 2023;13(2):233–243.</w:t>
      </w:r>
    </w:p>
    <w:p w14:paraId="23605068"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E74C43">
        <w:rPr>
          <w:rFonts w:ascii="Times New Roman" w:eastAsia="Times New Roman" w:hAnsi="Times New Roman" w:cs="Times New Roman"/>
          <w:sz w:val="24"/>
          <w:szCs w:val="24"/>
          <w:lang w:val="en-US" w:eastAsia="ru-RU"/>
        </w:rPr>
        <w:t>Gulyamov</w:t>
      </w:r>
      <w:proofErr w:type="spellEnd"/>
      <w:r w:rsidRPr="00E74C43">
        <w:rPr>
          <w:rFonts w:ascii="Times New Roman" w:eastAsia="Times New Roman" w:hAnsi="Times New Roman" w:cs="Times New Roman"/>
          <w:sz w:val="24"/>
          <w:szCs w:val="24"/>
          <w:lang w:val="en-US" w:eastAsia="ru-RU"/>
        </w:rPr>
        <w:t xml:space="preserve"> SS, </w:t>
      </w:r>
      <w:proofErr w:type="spellStart"/>
      <w:r w:rsidRPr="00E74C43">
        <w:rPr>
          <w:rFonts w:ascii="Times New Roman" w:eastAsia="Times New Roman" w:hAnsi="Times New Roman" w:cs="Times New Roman"/>
          <w:sz w:val="24"/>
          <w:szCs w:val="24"/>
          <w:lang w:val="en-US" w:eastAsia="ru-RU"/>
        </w:rPr>
        <w:t>Achilov</w:t>
      </w:r>
      <w:proofErr w:type="spellEnd"/>
      <w:r w:rsidRPr="00E74C43">
        <w:rPr>
          <w:rFonts w:ascii="Times New Roman" w:eastAsia="Times New Roman" w:hAnsi="Times New Roman" w:cs="Times New Roman"/>
          <w:sz w:val="24"/>
          <w:szCs w:val="24"/>
          <w:lang w:val="en-US" w:eastAsia="ru-RU"/>
        </w:rPr>
        <w:t xml:space="preserve"> SS. Strategy for the implementation of digital technologies in the tax system of Uzbekistan and the use of expert assessments. </w:t>
      </w:r>
      <w:r w:rsidRPr="00E74C43">
        <w:rPr>
          <w:rFonts w:ascii="Times New Roman" w:eastAsia="Times New Roman" w:hAnsi="Times New Roman" w:cs="Times New Roman"/>
          <w:i/>
          <w:iCs/>
          <w:sz w:val="24"/>
          <w:szCs w:val="24"/>
          <w:lang w:val="en-US" w:eastAsia="ru-RU"/>
        </w:rPr>
        <w:t>Statistical Bulletin of Uzbekistan</w:t>
      </w:r>
      <w:r w:rsidRPr="00E74C43">
        <w:rPr>
          <w:rFonts w:ascii="Times New Roman" w:eastAsia="Times New Roman" w:hAnsi="Times New Roman" w:cs="Times New Roman"/>
          <w:sz w:val="24"/>
          <w:szCs w:val="24"/>
          <w:lang w:val="en-US" w:eastAsia="ru-RU"/>
        </w:rPr>
        <w:t>. 2024;(3):1–17.</w:t>
      </w:r>
    </w:p>
    <w:p w14:paraId="40F9664B"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E74C43">
        <w:rPr>
          <w:rFonts w:ascii="Times New Roman" w:eastAsia="Times New Roman" w:hAnsi="Times New Roman" w:cs="Times New Roman"/>
          <w:sz w:val="24"/>
          <w:szCs w:val="24"/>
          <w:lang w:val="en-US" w:eastAsia="ru-RU"/>
        </w:rPr>
        <w:t>Gulyamov</w:t>
      </w:r>
      <w:proofErr w:type="spellEnd"/>
      <w:r w:rsidRPr="00E74C43">
        <w:rPr>
          <w:rFonts w:ascii="Times New Roman" w:eastAsia="Times New Roman" w:hAnsi="Times New Roman" w:cs="Times New Roman"/>
          <w:sz w:val="24"/>
          <w:szCs w:val="24"/>
          <w:lang w:val="en-US" w:eastAsia="ru-RU"/>
        </w:rPr>
        <w:t xml:space="preserve"> SS, </w:t>
      </w:r>
      <w:proofErr w:type="spellStart"/>
      <w:r w:rsidRPr="00E74C43">
        <w:rPr>
          <w:rFonts w:ascii="Times New Roman" w:eastAsia="Times New Roman" w:hAnsi="Times New Roman" w:cs="Times New Roman"/>
          <w:sz w:val="24"/>
          <w:szCs w:val="24"/>
          <w:lang w:val="en-US" w:eastAsia="ru-RU"/>
        </w:rPr>
        <w:t>Achilov</w:t>
      </w:r>
      <w:proofErr w:type="spellEnd"/>
      <w:r w:rsidRPr="00E74C43">
        <w:rPr>
          <w:rFonts w:ascii="Times New Roman" w:eastAsia="Times New Roman" w:hAnsi="Times New Roman" w:cs="Times New Roman"/>
          <w:sz w:val="24"/>
          <w:szCs w:val="24"/>
          <w:lang w:val="en-US" w:eastAsia="ru-RU"/>
        </w:rPr>
        <w:t xml:space="preserve"> SS. Use of artificial intelligence technologies in accounting and taxation. </w:t>
      </w:r>
      <w:proofErr w:type="spellStart"/>
      <w:r w:rsidRPr="00E74C43">
        <w:rPr>
          <w:rFonts w:ascii="Times New Roman" w:eastAsia="Times New Roman" w:hAnsi="Times New Roman" w:cs="Times New Roman"/>
          <w:i/>
          <w:iCs/>
          <w:sz w:val="24"/>
          <w:szCs w:val="24"/>
          <w:lang w:val="en-US" w:eastAsia="ru-RU"/>
        </w:rPr>
        <w:t>Moliya</w:t>
      </w:r>
      <w:proofErr w:type="spellEnd"/>
      <w:r w:rsidRPr="00E74C43">
        <w:rPr>
          <w:rFonts w:ascii="Times New Roman" w:eastAsia="Times New Roman" w:hAnsi="Times New Roman" w:cs="Times New Roman"/>
          <w:i/>
          <w:iCs/>
          <w:sz w:val="24"/>
          <w:szCs w:val="24"/>
          <w:lang w:val="en-US" w:eastAsia="ru-RU"/>
        </w:rPr>
        <w:t>: Scientific Journal</w:t>
      </w:r>
      <w:r w:rsidRPr="00E74C43">
        <w:rPr>
          <w:rFonts w:ascii="Times New Roman" w:eastAsia="Times New Roman" w:hAnsi="Times New Roman" w:cs="Times New Roman"/>
          <w:sz w:val="24"/>
          <w:szCs w:val="24"/>
          <w:lang w:val="en-US" w:eastAsia="ru-RU"/>
        </w:rPr>
        <w:t>. 2024;(6):38–51.</w:t>
      </w:r>
    </w:p>
    <w:p w14:paraId="3AD63425"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Achilov</w:t>
      </w:r>
      <w:proofErr w:type="spellEnd"/>
      <w:r w:rsidRPr="00E74C43">
        <w:rPr>
          <w:rFonts w:ascii="Times New Roman" w:eastAsia="Times New Roman" w:hAnsi="Times New Roman" w:cs="Times New Roman"/>
          <w:sz w:val="24"/>
          <w:szCs w:val="24"/>
          <w:lang w:val="en-US" w:eastAsia="ru-RU"/>
        </w:rPr>
        <w:t xml:space="preserve"> SS, </w:t>
      </w:r>
      <w:proofErr w:type="spellStart"/>
      <w:r w:rsidRPr="00E74C43">
        <w:rPr>
          <w:rFonts w:ascii="Times New Roman" w:eastAsia="Times New Roman" w:hAnsi="Times New Roman" w:cs="Times New Roman"/>
          <w:sz w:val="24"/>
          <w:szCs w:val="24"/>
          <w:lang w:val="en-US" w:eastAsia="ru-RU"/>
        </w:rPr>
        <w:t>Abdukarimova</w:t>
      </w:r>
      <w:proofErr w:type="spellEnd"/>
      <w:r w:rsidRPr="00E74C43">
        <w:rPr>
          <w:rFonts w:ascii="Times New Roman" w:eastAsia="Times New Roman" w:hAnsi="Times New Roman" w:cs="Times New Roman"/>
          <w:sz w:val="24"/>
          <w:szCs w:val="24"/>
          <w:lang w:val="en-US" w:eastAsia="ru-RU"/>
        </w:rPr>
        <w:t xml:space="preserve"> M. The selective statistical method in road construction. </w:t>
      </w:r>
      <w:r w:rsidRPr="00E74C43">
        <w:rPr>
          <w:rFonts w:ascii="Times New Roman" w:eastAsia="Times New Roman" w:hAnsi="Times New Roman" w:cs="Times New Roman"/>
          <w:i/>
          <w:iCs/>
          <w:sz w:val="24"/>
          <w:szCs w:val="24"/>
          <w:lang w:eastAsia="ru-RU"/>
        </w:rPr>
        <w:t xml:space="preserve">AIP Conference </w:t>
      </w:r>
      <w:proofErr w:type="spellStart"/>
      <w:r w:rsidRPr="00E74C43">
        <w:rPr>
          <w:rFonts w:ascii="Times New Roman" w:eastAsia="Times New Roman" w:hAnsi="Times New Roman" w:cs="Times New Roman"/>
          <w:i/>
          <w:iCs/>
          <w:sz w:val="24"/>
          <w:szCs w:val="24"/>
          <w:lang w:eastAsia="ru-RU"/>
        </w:rPr>
        <w:t>Proceedings</w:t>
      </w:r>
      <w:proofErr w:type="spellEnd"/>
      <w:r w:rsidRPr="00E74C43">
        <w:rPr>
          <w:rFonts w:ascii="Times New Roman" w:eastAsia="Times New Roman" w:hAnsi="Times New Roman" w:cs="Times New Roman"/>
          <w:sz w:val="24"/>
          <w:szCs w:val="24"/>
          <w:lang w:eastAsia="ru-RU"/>
        </w:rPr>
        <w:t>. 2024;3244(1):040011. https://doi.org/10.1063/5.0242260</w:t>
      </w:r>
    </w:p>
    <w:p w14:paraId="469B54AB"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Achilov</w:t>
      </w:r>
      <w:proofErr w:type="spellEnd"/>
      <w:r w:rsidRPr="00E74C43">
        <w:rPr>
          <w:rFonts w:ascii="Times New Roman" w:eastAsia="Times New Roman" w:hAnsi="Times New Roman" w:cs="Times New Roman"/>
          <w:sz w:val="24"/>
          <w:szCs w:val="24"/>
          <w:lang w:val="en-US" w:eastAsia="ru-RU"/>
        </w:rPr>
        <w:t xml:space="preserve"> SS. Digital transformation of the tax system based on expert assessments. In: </w:t>
      </w:r>
      <w:r w:rsidRPr="00E74C43">
        <w:rPr>
          <w:rFonts w:ascii="Times New Roman" w:eastAsia="Times New Roman" w:hAnsi="Times New Roman" w:cs="Times New Roman"/>
          <w:i/>
          <w:iCs/>
          <w:sz w:val="24"/>
          <w:szCs w:val="24"/>
          <w:lang w:val="en-US" w:eastAsia="ru-RU"/>
        </w:rPr>
        <w:t>Industrialization of Regions…</w:t>
      </w:r>
      <w:r w:rsidRPr="00E74C43">
        <w:rPr>
          <w:rFonts w:ascii="Times New Roman" w:eastAsia="Times New Roman" w:hAnsi="Times New Roman" w:cs="Times New Roman"/>
          <w:sz w:val="24"/>
          <w:szCs w:val="24"/>
          <w:lang w:val="en-US" w:eastAsia="ru-RU"/>
        </w:rPr>
        <w:t xml:space="preserve"> </w:t>
      </w:r>
      <w:proofErr w:type="spellStart"/>
      <w:r w:rsidRPr="00E74C43">
        <w:rPr>
          <w:rFonts w:ascii="Times New Roman" w:eastAsia="Times New Roman" w:hAnsi="Times New Roman" w:cs="Times New Roman"/>
          <w:sz w:val="24"/>
          <w:szCs w:val="24"/>
          <w:lang w:eastAsia="ru-RU"/>
        </w:rPr>
        <w:t>Gulistan</w:t>
      </w:r>
      <w:proofErr w:type="spellEnd"/>
      <w:r w:rsidRPr="00E74C43">
        <w:rPr>
          <w:rFonts w:ascii="Times New Roman" w:eastAsia="Times New Roman" w:hAnsi="Times New Roman" w:cs="Times New Roman"/>
          <w:sz w:val="24"/>
          <w:szCs w:val="24"/>
          <w:lang w:eastAsia="ru-RU"/>
        </w:rPr>
        <w:t xml:space="preserve">: </w:t>
      </w:r>
      <w:proofErr w:type="spellStart"/>
      <w:r w:rsidRPr="00E74C43">
        <w:rPr>
          <w:rFonts w:ascii="Times New Roman" w:eastAsia="Times New Roman" w:hAnsi="Times New Roman" w:cs="Times New Roman"/>
          <w:sz w:val="24"/>
          <w:szCs w:val="24"/>
          <w:lang w:eastAsia="ru-RU"/>
        </w:rPr>
        <w:t>Gulistan</w:t>
      </w:r>
      <w:proofErr w:type="spellEnd"/>
      <w:r w:rsidRPr="00E74C43">
        <w:rPr>
          <w:rFonts w:ascii="Times New Roman" w:eastAsia="Times New Roman" w:hAnsi="Times New Roman" w:cs="Times New Roman"/>
          <w:sz w:val="24"/>
          <w:szCs w:val="24"/>
          <w:lang w:eastAsia="ru-RU"/>
        </w:rPr>
        <w:t xml:space="preserve"> State University; 2025. p. 782–786.</w:t>
      </w:r>
    </w:p>
    <w:p w14:paraId="500C0D2B"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Beshelev</w:t>
      </w:r>
      <w:proofErr w:type="spellEnd"/>
      <w:r w:rsidRPr="00E74C43">
        <w:rPr>
          <w:rFonts w:ascii="Times New Roman" w:eastAsia="Times New Roman" w:hAnsi="Times New Roman" w:cs="Times New Roman"/>
          <w:sz w:val="24"/>
          <w:szCs w:val="24"/>
          <w:lang w:val="en-US" w:eastAsia="ru-RU"/>
        </w:rPr>
        <w:t xml:space="preserve"> SD, </w:t>
      </w:r>
      <w:proofErr w:type="spellStart"/>
      <w:r w:rsidRPr="00E74C43">
        <w:rPr>
          <w:rFonts w:ascii="Times New Roman" w:eastAsia="Times New Roman" w:hAnsi="Times New Roman" w:cs="Times New Roman"/>
          <w:sz w:val="24"/>
          <w:szCs w:val="24"/>
          <w:lang w:val="en-US" w:eastAsia="ru-RU"/>
        </w:rPr>
        <w:t>Gurvich</w:t>
      </w:r>
      <w:proofErr w:type="spellEnd"/>
      <w:r w:rsidRPr="00E74C43">
        <w:rPr>
          <w:rFonts w:ascii="Times New Roman" w:eastAsia="Times New Roman" w:hAnsi="Times New Roman" w:cs="Times New Roman"/>
          <w:sz w:val="24"/>
          <w:szCs w:val="24"/>
          <w:lang w:val="en-US" w:eastAsia="ru-RU"/>
        </w:rPr>
        <w:t xml:space="preserve"> FG. </w:t>
      </w:r>
      <w:r w:rsidRPr="00E74C43">
        <w:rPr>
          <w:rFonts w:ascii="Times New Roman" w:eastAsia="Times New Roman" w:hAnsi="Times New Roman" w:cs="Times New Roman"/>
          <w:i/>
          <w:iCs/>
          <w:sz w:val="24"/>
          <w:szCs w:val="24"/>
          <w:lang w:val="en-US" w:eastAsia="ru-RU"/>
        </w:rPr>
        <w:t>Mathematical-statistical methods of expert assessments</w:t>
      </w:r>
      <w:r w:rsidRPr="00E74C43">
        <w:rPr>
          <w:rFonts w:ascii="Times New Roman" w:eastAsia="Times New Roman" w:hAnsi="Times New Roman" w:cs="Times New Roman"/>
          <w:sz w:val="24"/>
          <w:szCs w:val="24"/>
          <w:lang w:val="en-US" w:eastAsia="ru-RU"/>
        </w:rPr>
        <w:t xml:space="preserve">. </w:t>
      </w:r>
      <w:r w:rsidRPr="00E74C43">
        <w:rPr>
          <w:rFonts w:ascii="Times New Roman" w:eastAsia="Times New Roman" w:hAnsi="Times New Roman" w:cs="Times New Roman"/>
          <w:sz w:val="24"/>
          <w:szCs w:val="24"/>
          <w:lang w:eastAsia="ru-RU"/>
        </w:rPr>
        <w:t xml:space="preserve">2nd </w:t>
      </w:r>
      <w:proofErr w:type="spellStart"/>
      <w:r w:rsidRPr="00E74C43">
        <w:rPr>
          <w:rFonts w:ascii="Times New Roman" w:eastAsia="Times New Roman" w:hAnsi="Times New Roman" w:cs="Times New Roman"/>
          <w:sz w:val="24"/>
          <w:szCs w:val="24"/>
          <w:lang w:eastAsia="ru-RU"/>
        </w:rPr>
        <w:t>ed</w:t>
      </w:r>
      <w:proofErr w:type="spellEnd"/>
      <w:r w:rsidRPr="00E74C43">
        <w:rPr>
          <w:rFonts w:ascii="Times New Roman" w:eastAsia="Times New Roman" w:hAnsi="Times New Roman" w:cs="Times New Roman"/>
          <w:sz w:val="24"/>
          <w:szCs w:val="24"/>
          <w:lang w:eastAsia="ru-RU"/>
        </w:rPr>
        <w:t xml:space="preserve">. Moscow: </w:t>
      </w:r>
      <w:proofErr w:type="spellStart"/>
      <w:r w:rsidRPr="00E74C43">
        <w:rPr>
          <w:rFonts w:ascii="Times New Roman" w:eastAsia="Times New Roman" w:hAnsi="Times New Roman" w:cs="Times New Roman"/>
          <w:sz w:val="24"/>
          <w:szCs w:val="24"/>
          <w:lang w:eastAsia="ru-RU"/>
        </w:rPr>
        <w:t>Statistika</w:t>
      </w:r>
      <w:proofErr w:type="spellEnd"/>
      <w:r w:rsidRPr="00E74C43">
        <w:rPr>
          <w:rFonts w:ascii="Times New Roman" w:eastAsia="Times New Roman" w:hAnsi="Times New Roman" w:cs="Times New Roman"/>
          <w:sz w:val="24"/>
          <w:szCs w:val="24"/>
          <w:lang w:eastAsia="ru-RU"/>
        </w:rPr>
        <w:t>; 1980.</w:t>
      </w:r>
    </w:p>
    <w:p w14:paraId="79621DC8"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Dobrov</w:t>
      </w:r>
      <w:proofErr w:type="spellEnd"/>
      <w:r w:rsidRPr="00E74C43">
        <w:rPr>
          <w:rFonts w:ascii="Times New Roman" w:eastAsia="Times New Roman" w:hAnsi="Times New Roman" w:cs="Times New Roman"/>
          <w:sz w:val="24"/>
          <w:szCs w:val="24"/>
          <w:lang w:val="en-US" w:eastAsia="ru-RU"/>
        </w:rPr>
        <w:t xml:space="preserve"> GM, </w:t>
      </w:r>
      <w:proofErr w:type="spellStart"/>
      <w:r w:rsidRPr="00E74C43">
        <w:rPr>
          <w:rFonts w:ascii="Times New Roman" w:eastAsia="Times New Roman" w:hAnsi="Times New Roman" w:cs="Times New Roman"/>
          <w:sz w:val="24"/>
          <w:szCs w:val="24"/>
          <w:lang w:val="en-US" w:eastAsia="ru-RU"/>
        </w:rPr>
        <w:t>Ershov</w:t>
      </w:r>
      <w:proofErr w:type="spellEnd"/>
      <w:r w:rsidRPr="00E74C43">
        <w:rPr>
          <w:rFonts w:ascii="Times New Roman" w:eastAsia="Times New Roman" w:hAnsi="Times New Roman" w:cs="Times New Roman"/>
          <w:sz w:val="24"/>
          <w:szCs w:val="24"/>
          <w:lang w:val="en-US" w:eastAsia="ru-RU"/>
        </w:rPr>
        <w:t xml:space="preserve"> </w:t>
      </w:r>
      <w:proofErr w:type="spellStart"/>
      <w:r w:rsidRPr="00E74C43">
        <w:rPr>
          <w:rFonts w:ascii="Times New Roman" w:eastAsia="Times New Roman" w:hAnsi="Times New Roman" w:cs="Times New Roman"/>
          <w:sz w:val="24"/>
          <w:szCs w:val="24"/>
          <w:lang w:val="en-US" w:eastAsia="ru-RU"/>
        </w:rPr>
        <w:t>YuV</w:t>
      </w:r>
      <w:proofErr w:type="spellEnd"/>
      <w:r w:rsidRPr="00E74C43">
        <w:rPr>
          <w:rFonts w:ascii="Times New Roman" w:eastAsia="Times New Roman" w:hAnsi="Times New Roman" w:cs="Times New Roman"/>
          <w:sz w:val="24"/>
          <w:szCs w:val="24"/>
          <w:lang w:val="en-US" w:eastAsia="ru-RU"/>
        </w:rPr>
        <w:t xml:space="preserve">, Levitin EI. </w:t>
      </w:r>
      <w:r w:rsidRPr="00E74C43">
        <w:rPr>
          <w:rFonts w:ascii="Times New Roman" w:eastAsia="Times New Roman" w:hAnsi="Times New Roman" w:cs="Times New Roman"/>
          <w:i/>
          <w:iCs/>
          <w:sz w:val="24"/>
          <w:szCs w:val="24"/>
          <w:lang w:val="en-US" w:eastAsia="ru-RU"/>
        </w:rPr>
        <w:t>Expert assessments in scientific and technological forecasting</w:t>
      </w:r>
      <w:r w:rsidRPr="00E74C43">
        <w:rPr>
          <w:rFonts w:ascii="Times New Roman" w:eastAsia="Times New Roman" w:hAnsi="Times New Roman" w:cs="Times New Roman"/>
          <w:sz w:val="24"/>
          <w:szCs w:val="24"/>
          <w:lang w:val="en-US" w:eastAsia="ru-RU"/>
        </w:rPr>
        <w:t xml:space="preserve">. </w:t>
      </w:r>
      <w:proofErr w:type="spellStart"/>
      <w:r w:rsidRPr="00E74C43">
        <w:rPr>
          <w:rFonts w:ascii="Times New Roman" w:eastAsia="Times New Roman" w:hAnsi="Times New Roman" w:cs="Times New Roman"/>
          <w:sz w:val="24"/>
          <w:szCs w:val="24"/>
          <w:lang w:eastAsia="ru-RU"/>
        </w:rPr>
        <w:t>Kiev</w:t>
      </w:r>
      <w:proofErr w:type="spellEnd"/>
      <w:r w:rsidRPr="00E74C43">
        <w:rPr>
          <w:rFonts w:ascii="Times New Roman" w:eastAsia="Times New Roman" w:hAnsi="Times New Roman" w:cs="Times New Roman"/>
          <w:sz w:val="24"/>
          <w:szCs w:val="24"/>
          <w:lang w:eastAsia="ru-RU"/>
        </w:rPr>
        <w:t xml:space="preserve">: </w:t>
      </w:r>
      <w:proofErr w:type="spellStart"/>
      <w:r w:rsidRPr="00E74C43">
        <w:rPr>
          <w:rFonts w:ascii="Times New Roman" w:eastAsia="Times New Roman" w:hAnsi="Times New Roman" w:cs="Times New Roman"/>
          <w:sz w:val="24"/>
          <w:szCs w:val="24"/>
          <w:lang w:eastAsia="ru-RU"/>
        </w:rPr>
        <w:t>Naukova</w:t>
      </w:r>
      <w:proofErr w:type="spellEnd"/>
      <w:r w:rsidRPr="00E74C43">
        <w:rPr>
          <w:rFonts w:ascii="Times New Roman" w:eastAsia="Times New Roman" w:hAnsi="Times New Roman" w:cs="Times New Roman"/>
          <w:sz w:val="24"/>
          <w:szCs w:val="24"/>
          <w:lang w:eastAsia="ru-RU"/>
        </w:rPr>
        <w:t xml:space="preserve"> </w:t>
      </w:r>
      <w:proofErr w:type="spellStart"/>
      <w:r w:rsidRPr="00E74C43">
        <w:rPr>
          <w:rFonts w:ascii="Times New Roman" w:eastAsia="Times New Roman" w:hAnsi="Times New Roman" w:cs="Times New Roman"/>
          <w:sz w:val="24"/>
          <w:szCs w:val="24"/>
          <w:lang w:eastAsia="ru-RU"/>
        </w:rPr>
        <w:t>Dumka</w:t>
      </w:r>
      <w:proofErr w:type="spellEnd"/>
      <w:r w:rsidRPr="00E74C43">
        <w:rPr>
          <w:rFonts w:ascii="Times New Roman" w:eastAsia="Times New Roman" w:hAnsi="Times New Roman" w:cs="Times New Roman"/>
          <w:sz w:val="24"/>
          <w:szCs w:val="24"/>
          <w:lang w:eastAsia="ru-RU"/>
        </w:rPr>
        <w:t>; 1974.</w:t>
      </w:r>
    </w:p>
    <w:p w14:paraId="441D88D4"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Krokhina</w:t>
      </w:r>
      <w:proofErr w:type="spellEnd"/>
      <w:r w:rsidRPr="00E74C43">
        <w:rPr>
          <w:rFonts w:ascii="Times New Roman" w:eastAsia="Times New Roman" w:hAnsi="Times New Roman" w:cs="Times New Roman"/>
          <w:sz w:val="24"/>
          <w:szCs w:val="24"/>
          <w:lang w:val="en-US" w:eastAsia="ru-RU"/>
        </w:rPr>
        <w:t xml:space="preserve"> </w:t>
      </w:r>
      <w:proofErr w:type="spellStart"/>
      <w:r w:rsidRPr="00E74C43">
        <w:rPr>
          <w:rFonts w:ascii="Times New Roman" w:eastAsia="Times New Roman" w:hAnsi="Times New Roman" w:cs="Times New Roman"/>
          <w:sz w:val="24"/>
          <w:szCs w:val="24"/>
          <w:lang w:val="en-US" w:eastAsia="ru-RU"/>
        </w:rPr>
        <w:t>YuA</w:t>
      </w:r>
      <w:proofErr w:type="spellEnd"/>
      <w:r w:rsidRPr="00E74C43">
        <w:rPr>
          <w:rFonts w:ascii="Times New Roman" w:eastAsia="Times New Roman" w:hAnsi="Times New Roman" w:cs="Times New Roman"/>
          <w:sz w:val="24"/>
          <w:szCs w:val="24"/>
          <w:lang w:val="en-US" w:eastAsia="ru-RU"/>
        </w:rPr>
        <w:t xml:space="preserve">. </w:t>
      </w:r>
      <w:r w:rsidRPr="00E74C43">
        <w:rPr>
          <w:rFonts w:ascii="Times New Roman" w:eastAsia="Times New Roman" w:hAnsi="Times New Roman" w:cs="Times New Roman"/>
          <w:i/>
          <w:iCs/>
          <w:sz w:val="24"/>
          <w:szCs w:val="24"/>
          <w:lang w:val="en-US" w:eastAsia="ru-RU"/>
        </w:rPr>
        <w:t>Tax Law: Textbook for universities</w:t>
      </w:r>
      <w:r w:rsidRPr="00E74C43">
        <w:rPr>
          <w:rFonts w:ascii="Times New Roman" w:eastAsia="Times New Roman" w:hAnsi="Times New Roman" w:cs="Times New Roman"/>
          <w:sz w:val="24"/>
          <w:szCs w:val="24"/>
          <w:lang w:val="en-US" w:eastAsia="ru-RU"/>
        </w:rPr>
        <w:t xml:space="preserve">. </w:t>
      </w:r>
      <w:r w:rsidRPr="00E74C43">
        <w:rPr>
          <w:rFonts w:ascii="Times New Roman" w:eastAsia="Times New Roman" w:hAnsi="Times New Roman" w:cs="Times New Roman"/>
          <w:sz w:val="24"/>
          <w:szCs w:val="24"/>
          <w:lang w:eastAsia="ru-RU"/>
        </w:rPr>
        <w:t xml:space="preserve">10th </w:t>
      </w:r>
      <w:proofErr w:type="spellStart"/>
      <w:r w:rsidRPr="00E74C43">
        <w:rPr>
          <w:rFonts w:ascii="Times New Roman" w:eastAsia="Times New Roman" w:hAnsi="Times New Roman" w:cs="Times New Roman"/>
          <w:sz w:val="24"/>
          <w:szCs w:val="24"/>
          <w:lang w:eastAsia="ru-RU"/>
        </w:rPr>
        <w:t>ed</w:t>
      </w:r>
      <w:proofErr w:type="spellEnd"/>
      <w:r w:rsidRPr="00E74C43">
        <w:rPr>
          <w:rFonts w:ascii="Times New Roman" w:eastAsia="Times New Roman" w:hAnsi="Times New Roman" w:cs="Times New Roman"/>
          <w:sz w:val="24"/>
          <w:szCs w:val="24"/>
          <w:lang w:eastAsia="ru-RU"/>
        </w:rPr>
        <w:t xml:space="preserve">. Moscow: </w:t>
      </w:r>
      <w:proofErr w:type="spellStart"/>
      <w:r w:rsidRPr="00E74C43">
        <w:rPr>
          <w:rFonts w:ascii="Times New Roman" w:eastAsia="Times New Roman" w:hAnsi="Times New Roman" w:cs="Times New Roman"/>
          <w:sz w:val="24"/>
          <w:szCs w:val="24"/>
          <w:lang w:eastAsia="ru-RU"/>
        </w:rPr>
        <w:t>Yurayt</w:t>
      </w:r>
      <w:proofErr w:type="spellEnd"/>
      <w:r w:rsidRPr="00E74C43">
        <w:rPr>
          <w:rFonts w:ascii="Times New Roman" w:eastAsia="Times New Roman" w:hAnsi="Times New Roman" w:cs="Times New Roman"/>
          <w:sz w:val="24"/>
          <w:szCs w:val="24"/>
          <w:lang w:eastAsia="ru-RU"/>
        </w:rPr>
        <w:t>; 2023.</w:t>
      </w:r>
    </w:p>
    <w:p w14:paraId="3C16FA91"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Lykova</w:t>
      </w:r>
      <w:proofErr w:type="spellEnd"/>
      <w:r w:rsidRPr="00E74C43">
        <w:rPr>
          <w:rFonts w:ascii="Times New Roman" w:eastAsia="Times New Roman" w:hAnsi="Times New Roman" w:cs="Times New Roman"/>
          <w:sz w:val="24"/>
          <w:szCs w:val="24"/>
          <w:lang w:val="en-US" w:eastAsia="ru-RU"/>
        </w:rPr>
        <w:t xml:space="preserve"> LN. </w:t>
      </w:r>
      <w:r w:rsidRPr="00E74C43">
        <w:rPr>
          <w:rFonts w:ascii="Times New Roman" w:eastAsia="Times New Roman" w:hAnsi="Times New Roman" w:cs="Times New Roman"/>
          <w:i/>
          <w:iCs/>
          <w:sz w:val="24"/>
          <w:szCs w:val="24"/>
          <w:lang w:val="en-US" w:eastAsia="ru-RU"/>
        </w:rPr>
        <w:t>Taxes and taxation: Textbook for universities</w:t>
      </w:r>
      <w:r w:rsidRPr="00E74C43">
        <w:rPr>
          <w:rFonts w:ascii="Times New Roman" w:eastAsia="Times New Roman" w:hAnsi="Times New Roman" w:cs="Times New Roman"/>
          <w:sz w:val="24"/>
          <w:szCs w:val="24"/>
          <w:lang w:val="en-US" w:eastAsia="ru-RU"/>
        </w:rPr>
        <w:t xml:space="preserve">. 3rd ed. </w:t>
      </w:r>
      <w:r w:rsidRPr="00E74C43">
        <w:rPr>
          <w:rFonts w:ascii="Times New Roman" w:eastAsia="Times New Roman" w:hAnsi="Times New Roman" w:cs="Times New Roman"/>
          <w:sz w:val="24"/>
          <w:szCs w:val="24"/>
          <w:lang w:eastAsia="ru-RU"/>
        </w:rPr>
        <w:t xml:space="preserve">Moscow: </w:t>
      </w:r>
      <w:proofErr w:type="spellStart"/>
      <w:r w:rsidRPr="00E74C43">
        <w:rPr>
          <w:rFonts w:ascii="Times New Roman" w:eastAsia="Times New Roman" w:hAnsi="Times New Roman" w:cs="Times New Roman"/>
          <w:sz w:val="24"/>
          <w:szCs w:val="24"/>
          <w:lang w:eastAsia="ru-RU"/>
        </w:rPr>
        <w:t>Yurayt</w:t>
      </w:r>
      <w:proofErr w:type="spellEnd"/>
      <w:r w:rsidRPr="00E74C43">
        <w:rPr>
          <w:rFonts w:ascii="Times New Roman" w:eastAsia="Times New Roman" w:hAnsi="Times New Roman" w:cs="Times New Roman"/>
          <w:sz w:val="24"/>
          <w:szCs w:val="24"/>
          <w:lang w:eastAsia="ru-RU"/>
        </w:rPr>
        <w:t>; 2021.</w:t>
      </w:r>
    </w:p>
    <w:p w14:paraId="58976670"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Lykova</w:t>
      </w:r>
      <w:proofErr w:type="spellEnd"/>
      <w:r w:rsidRPr="00E74C43">
        <w:rPr>
          <w:rFonts w:ascii="Times New Roman" w:eastAsia="Times New Roman" w:hAnsi="Times New Roman" w:cs="Times New Roman"/>
          <w:sz w:val="24"/>
          <w:szCs w:val="24"/>
          <w:lang w:val="en-US" w:eastAsia="ru-RU"/>
        </w:rPr>
        <w:t xml:space="preserve"> LN. </w:t>
      </w:r>
      <w:r w:rsidRPr="00E74C43">
        <w:rPr>
          <w:rFonts w:ascii="Times New Roman" w:eastAsia="Times New Roman" w:hAnsi="Times New Roman" w:cs="Times New Roman"/>
          <w:i/>
          <w:iCs/>
          <w:sz w:val="24"/>
          <w:szCs w:val="24"/>
          <w:lang w:val="en-US" w:eastAsia="ru-RU"/>
        </w:rPr>
        <w:t>Tax systems of foreign countries</w:t>
      </w:r>
      <w:r w:rsidRPr="00E74C43">
        <w:rPr>
          <w:rFonts w:ascii="Times New Roman" w:eastAsia="Times New Roman" w:hAnsi="Times New Roman" w:cs="Times New Roman"/>
          <w:sz w:val="24"/>
          <w:szCs w:val="24"/>
          <w:lang w:val="en-US" w:eastAsia="ru-RU"/>
        </w:rPr>
        <w:t xml:space="preserve">. 4th ed. </w:t>
      </w:r>
      <w:r w:rsidRPr="00E74C43">
        <w:rPr>
          <w:rFonts w:ascii="Times New Roman" w:eastAsia="Times New Roman" w:hAnsi="Times New Roman" w:cs="Times New Roman"/>
          <w:sz w:val="24"/>
          <w:szCs w:val="24"/>
          <w:lang w:eastAsia="ru-RU"/>
        </w:rPr>
        <w:t xml:space="preserve">Moscow: </w:t>
      </w:r>
      <w:proofErr w:type="spellStart"/>
      <w:r w:rsidRPr="00E74C43">
        <w:rPr>
          <w:rFonts w:ascii="Times New Roman" w:eastAsia="Times New Roman" w:hAnsi="Times New Roman" w:cs="Times New Roman"/>
          <w:sz w:val="24"/>
          <w:szCs w:val="24"/>
          <w:lang w:eastAsia="ru-RU"/>
        </w:rPr>
        <w:t>Yurayt</w:t>
      </w:r>
      <w:proofErr w:type="spellEnd"/>
      <w:r w:rsidRPr="00E74C43">
        <w:rPr>
          <w:rFonts w:ascii="Times New Roman" w:eastAsia="Times New Roman" w:hAnsi="Times New Roman" w:cs="Times New Roman"/>
          <w:sz w:val="24"/>
          <w:szCs w:val="24"/>
          <w:lang w:eastAsia="ru-RU"/>
        </w:rPr>
        <w:t>; 2023.</w:t>
      </w:r>
    </w:p>
    <w:p w14:paraId="4341C7C1"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Bykova</w:t>
      </w:r>
      <w:proofErr w:type="spellEnd"/>
      <w:r w:rsidRPr="00E74C43">
        <w:rPr>
          <w:rFonts w:ascii="Times New Roman" w:eastAsia="Times New Roman" w:hAnsi="Times New Roman" w:cs="Times New Roman"/>
          <w:sz w:val="24"/>
          <w:szCs w:val="24"/>
          <w:lang w:val="en-US" w:eastAsia="ru-RU"/>
        </w:rPr>
        <w:t xml:space="preserve"> NN, </w:t>
      </w:r>
      <w:proofErr w:type="spellStart"/>
      <w:r w:rsidRPr="00E74C43">
        <w:rPr>
          <w:rFonts w:ascii="Times New Roman" w:eastAsia="Times New Roman" w:hAnsi="Times New Roman" w:cs="Times New Roman"/>
          <w:sz w:val="24"/>
          <w:szCs w:val="24"/>
          <w:lang w:val="en-US" w:eastAsia="ru-RU"/>
        </w:rPr>
        <w:t>Lyadov</w:t>
      </w:r>
      <w:proofErr w:type="spellEnd"/>
      <w:r w:rsidRPr="00E74C43">
        <w:rPr>
          <w:rFonts w:ascii="Times New Roman" w:eastAsia="Times New Roman" w:hAnsi="Times New Roman" w:cs="Times New Roman"/>
          <w:sz w:val="24"/>
          <w:szCs w:val="24"/>
          <w:lang w:val="en-US" w:eastAsia="ru-RU"/>
        </w:rPr>
        <w:t xml:space="preserve"> AA. Tax system, its principles and functions. </w:t>
      </w:r>
      <w:r w:rsidRPr="00E74C43">
        <w:rPr>
          <w:rFonts w:ascii="Times New Roman" w:eastAsia="Times New Roman" w:hAnsi="Times New Roman" w:cs="Times New Roman"/>
          <w:i/>
          <w:iCs/>
          <w:sz w:val="24"/>
          <w:szCs w:val="24"/>
          <w:lang w:val="en-US" w:eastAsia="ru-RU"/>
        </w:rPr>
        <w:t>Modern Scientific Research and Innovations</w:t>
      </w:r>
      <w:r w:rsidRPr="00E74C43">
        <w:rPr>
          <w:rFonts w:ascii="Times New Roman" w:eastAsia="Times New Roman" w:hAnsi="Times New Roman" w:cs="Times New Roman"/>
          <w:sz w:val="24"/>
          <w:szCs w:val="24"/>
          <w:lang w:val="en-US" w:eastAsia="ru-RU"/>
        </w:rPr>
        <w:t xml:space="preserve">. </w:t>
      </w:r>
      <w:r w:rsidRPr="00E74C43">
        <w:rPr>
          <w:rFonts w:ascii="Times New Roman" w:eastAsia="Times New Roman" w:hAnsi="Times New Roman" w:cs="Times New Roman"/>
          <w:sz w:val="24"/>
          <w:szCs w:val="24"/>
          <w:lang w:eastAsia="ru-RU"/>
        </w:rPr>
        <w:t>2017;(1).</w:t>
      </w:r>
    </w:p>
    <w:p w14:paraId="4D9914A0"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lastRenderedPageBreak/>
        <w:t>Khudoykulov</w:t>
      </w:r>
      <w:proofErr w:type="spellEnd"/>
      <w:r w:rsidRPr="00E74C43">
        <w:rPr>
          <w:rFonts w:ascii="Times New Roman" w:eastAsia="Times New Roman" w:hAnsi="Times New Roman" w:cs="Times New Roman"/>
          <w:sz w:val="24"/>
          <w:szCs w:val="24"/>
          <w:lang w:val="en-US" w:eastAsia="ru-RU"/>
        </w:rPr>
        <w:t xml:space="preserve"> S, </w:t>
      </w:r>
      <w:proofErr w:type="spellStart"/>
      <w:r w:rsidRPr="00E74C43">
        <w:rPr>
          <w:rFonts w:ascii="Times New Roman" w:eastAsia="Times New Roman" w:hAnsi="Times New Roman" w:cs="Times New Roman"/>
          <w:sz w:val="24"/>
          <w:szCs w:val="24"/>
          <w:lang w:val="en-US" w:eastAsia="ru-RU"/>
        </w:rPr>
        <w:t>Khalikchaeva</w:t>
      </w:r>
      <w:proofErr w:type="spellEnd"/>
      <w:r w:rsidRPr="00E74C43">
        <w:rPr>
          <w:rFonts w:ascii="Times New Roman" w:eastAsia="Times New Roman" w:hAnsi="Times New Roman" w:cs="Times New Roman"/>
          <w:sz w:val="24"/>
          <w:szCs w:val="24"/>
          <w:lang w:val="en-US" w:eastAsia="ru-RU"/>
        </w:rPr>
        <w:t xml:space="preserve"> S. Features of determining the tax base in the global taxation system. </w:t>
      </w:r>
      <w:r w:rsidRPr="00E74C43">
        <w:rPr>
          <w:rFonts w:ascii="Times New Roman" w:eastAsia="Times New Roman" w:hAnsi="Times New Roman" w:cs="Times New Roman"/>
          <w:i/>
          <w:iCs/>
          <w:sz w:val="24"/>
          <w:szCs w:val="24"/>
          <w:lang w:eastAsia="ru-RU"/>
        </w:rPr>
        <w:t>Economic Education</w:t>
      </w:r>
      <w:r w:rsidRPr="00E74C43">
        <w:rPr>
          <w:rFonts w:ascii="Times New Roman" w:eastAsia="Times New Roman" w:hAnsi="Times New Roman" w:cs="Times New Roman"/>
          <w:sz w:val="24"/>
          <w:szCs w:val="24"/>
          <w:lang w:eastAsia="ru-RU"/>
        </w:rPr>
        <w:t>. 2023;24(2):210–221. https://doi.org/10.55439/ECED/vol24_iss2/a33</w:t>
      </w:r>
    </w:p>
    <w:p w14:paraId="04B90BFB"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E74C43">
        <w:rPr>
          <w:rFonts w:ascii="Times New Roman" w:eastAsia="Times New Roman" w:hAnsi="Times New Roman" w:cs="Times New Roman"/>
          <w:sz w:val="24"/>
          <w:szCs w:val="24"/>
          <w:lang w:val="en-US" w:eastAsia="ru-RU"/>
        </w:rPr>
        <w:t>Khudyakov</w:t>
      </w:r>
      <w:proofErr w:type="spellEnd"/>
      <w:r w:rsidRPr="00E74C43">
        <w:rPr>
          <w:rFonts w:ascii="Times New Roman" w:eastAsia="Times New Roman" w:hAnsi="Times New Roman" w:cs="Times New Roman"/>
          <w:sz w:val="24"/>
          <w:szCs w:val="24"/>
          <w:lang w:val="en-US" w:eastAsia="ru-RU"/>
        </w:rPr>
        <w:t xml:space="preserve"> AI, </w:t>
      </w:r>
      <w:proofErr w:type="spellStart"/>
      <w:r w:rsidRPr="00E74C43">
        <w:rPr>
          <w:rFonts w:ascii="Times New Roman" w:eastAsia="Times New Roman" w:hAnsi="Times New Roman" w:cs="Times New Roman"/>
          <w:sz w:val="24"/>
          <w:szCs w:val="24"/>
          <w:lang w:val="en-US" w:eastAsia="ru-RU"/>
        </w:rPr>
        <w:t>Brodskiy</w:t>
      </w:r>
      <w:proofErr w:type="spellEnd"/>
      <w:r w:rsidRPr="00E74C43">
        <w:rPr>
          <w:rFonts w:ascii="Times New Roman" w:eastAsia="Times New Roman" w:hAnsi="Times New Roman" w:cs="Times New Roman"/>
          <w:sz w:val="24"/>
          <w:szCs w:val="24"/>
          <w:lang w:val="en-US" w:eastAsia="ru-RU"/>
        </w:rPr>
        <w:t xml:space="preserve"> MN, </w:t>
      </w:r>
      <w:proofErr w:type="spellStart"/>
      <w:r w:rsidRPr="00E74C43">
        <w:rPr>
          <w:rFonts w:ascii="Times New Roman" w:eastAsia="Times New Roman" w:hAnsi="Times New Roman" w:cs="Times New Roman"/>
          <w:sz w:val="24"/>
          <w:szCs w:val="24"/>
          <w:lang w:val="en-US" w:eastAsia="ru-RU"/>
        </w:rPr>
        <w:t>Brodskiy</w:t>
      </w:r>
      <w:proofErr w:type="spellEnd"/>
      <w:r w:rsidRPr="00E74C43">
        <w:rPr>
          <w:rFonts w:ascii="Times New Roman" w:eastAsia="Times New Roman" w:hAnsi="Times New Roman" w:cs="Times New Roman"/>
          <w:sz w:val="24"/>
          <w:szCs w:val="24"/>
          <w:lang w:val="en-US" w:eastAsia="ru-RU"/>
        </w:rPr>
        <w:t xml:space="preserve"> GM. </w:t>
      </w:r>
      <w:r w:rsidRPr="00E74C43">
        <w:rPr>
          <w:rFonts w:ascii="Times New Roman" w:eastAsia="Times New Roman" w:hAnsi="Times New Roman" w:cs="Times New Roman"/>
          <w:i/>
          <w:iCs/>
          <w:sz w:val="24"/>
          <w:szCs w:val="24"/>
          <w:lang w:val="en-US" w:eastAsia="ru-RU"/>
        </w:rPr>
        <w:t>Fundamentals of taxation</w:t>
      </w:r>
      <w:r w:rsidRPr="00E74C43">
        <w:rPr>
          <w:rFonts w:ascii="Times New Roman" w:eastAsia="Times New Roman" w:hAnsi="Times New Roman" w:cs="Times New Roman"/>
          <w:sz w:val="24"/>
          <w:szCs w:val="24"/>
          <w:lang w:val="en-US" w:eastAsia="ru-RU"/>
        </w:rPr>
        <w:t>. St. Petersburg: European House; 2002.</w:t>
      </w:r>
    </w:p>
    <w:p w14:paraId="4A0D4518"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Rasulev</w:t>
      </w:r>
      <w:proofErr w:type="spellEnd"/>
      <w:r w:rsidRPr="00E74C43">
        <w:rPr>
          <w:rFonts w:ascii="Times New Roman" w:eastAsia="Times New Roman" w:hAnsi="Times New Roman" w:cs="Times New Roman"/>
          <w:sz w:val="24"/>
          <w:szCs w:val="24"/>
          <w:lang w:val="en-US" w:eastAsia="ru-RU"/>
        </w:rPr>
        <w:t xml:space="preserve"> AF, Voronin SA. New architecture of the tax system of Uzbekistan. </w:t>
      </w:r>
      <w:proofErr w:type="spellStart"/>
      <w:r w:rsidRPr="00E74C43">
        <w:rPr>
          <w:rFonts w:ascii="Times New Roman" w:eastAsia="Times New Roman" w:hAnsi="Times New Roman" w:cs="Times New Roman"/>
          <w:i/>
          <w:iCs/>
          <w:sz w:val="24"/>
          <w:szCs w:val="24"/>
          <w:lang w:eastAsia="ru-RU"/>
        </w:rPr>
        <w:t>Economy</w:t>
      </w:r>
      <w:proofErr w:type="spellEnd"/>
      <w:r w:rsidRPr="00E74C43">
        <w:rPr>
          <w:rFonts w:ascii="Times New Roman" w:eastAsia="Times New Roman" w:hAnsi="Times New Roman" w:cs="Times New Roman"/>
          <w:i/>
          <w:iCs/>
          <w:sz w:val="24"/>
          <w:szCs w:val="24"/>
          <w:lang w:eastAsia="ru-RU"/>
        </w:rPr>
        <w:t xml:space="preserve"> </w:t>
      </w:r>
      <w:proofErr w:type="spellStart"/>
      <w:r w:rsidRPr="00E74C43">
        <w:rPr>
          <w:rFonts w:ascii="Times New Roman" w:eastAsia="Times New Roman" w:hAnsi="Times New Roman" w:cs="Times New Roman"/>
          <w:i/>
          <w:iCs/>
          <w:sz w:val="24"/>
          <w:szCs w:val="24"/>
          <w:lang w:eastAsia="ru-RU"/>
        </w:rPr>
        <w:t>and</w:t>
      </w:r>
      <w:proofErr w:type="spellEnd"/>
      <w:r w:rsidRPr="00E74C43">
        <w:rPr>
          <w:rFonts w:ascii="Times New Roman" w:eastAsia="Times New Roman" w:hAnsi="Times New Roman" w:cs="Times New Roman"/>
          <w:i/>
          <w:iCs/>
          <w:sz w:val="24"/>
          <w:szCs w:val="24"/>
          <w:lang w:eastAsia="ru-RU"/>
        </w:rPr>
        <w:t xml:space="preserve"> Finance (Uzbekistan)</w:t>
      </w:r>
      <w:r w:rsidRPr="00E74C43">
        <w:rPr>
          <w:rFonts w:ascii="Times New Roman" w:eastAsia="Times New Roman" w:hAnsi="Times New Roman" w:cs="Times New Roman"/>
          <w:sz w:val="24"/>
          <w:szCs w:val="24"/>
          <w:lang w:eastAsia="ru-RU"/>
        </w:rPr>
        <w:t>. 2020;3(135):51–62.</w:t>
      </w:r>
    </w:p>
    <w:p w14:paraId="7A208A4C"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E74C43">
        <w:rPr>
          <w:rFonts w:ascii="Times New Roman" w:eastAsia="Times New Roman" w:hAnsi="Times New Roman" w:cs="Times New Roman"/>
          <w:sz w:val="24"/>
          <w:szCs w:val="24"/>
          <w:lang w:val="en-US" w:eastAsia="ru-RU"/>
        </w:rPr>
        <w:t xml:space="preserve">Voronin SA. New architecture of the tax system. </w:t>
      </w:r>
      <w:r w:rsidRPr="00E74C43">
        <w:rPr>
          <w:rFonts w:ascii="Times New Roman" w:eastAsia="Times New Roman" w:hAnsi="Times New Roman" w:cs="Times New Roman"/>
          <w:i/>
          <w:iCs/>
          <w:sz w:val="24"/>
          <w:szCs w:val="24"/>
          <w:lang w:eastAsia="ru-RU"/>
        </w:rPr>
        <w:t>Economic Review</w:t>
      </w:r>
      <w:r w:rsidRPr="00E74C43">
        <w:rPr>
          <w:rFonts w:ascii="Times New Roman" w:eastAsia="Times New Roman" w:hAnsi="Times New Roman" w:cs="Times New Roman"/>
          <w:sz w:val="24"/>
          <w:szCs w:val="24"/>
          <w:lang w:eastAsia="ru-RU"/>
        </w:rPr>
        <w:t>. 2020;8(248).</w:t>
      </w:r>
    </w:p>
    <w:p w14:paraId="4D668AFB"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Rasulev</w:t>
      </w:r>
      <w:proofErr w:type="spellEnd"/>
      <w:r w:rsidRPr="00E74C43">
        <w:rPr>
          <w:rFonts w:ascii="Times New Roman" w:eastAsia="Times New Roman" w:hAnsi="Times New Roman" w:cs="Times New Roman"/>
          <w:sz w:val="24"/>
          <w:szCs w:val="24"/>
          <w:lang w:val="en-US" w:eastAsia="ru-RU"/>
        </w:rPr>
        <w:t xml:space="preserve"> AF, Voronin SA. New architecture of effective economic management system as a key vector of reforms in Uzbekistan. </w:t>
      </w:r>
      <w:proofErr w:type="spellStart"/>
      <w:r w:rsidRPr="00E74C43">
        <w:rPr>
          <w:rFonts w:ascii="Times New Roman" w:eastAsia="Times New Roman" w:hAnsi="Times New Roman" w:cs="Times New Roman"/>
          <w:i/>
          <w:iCs/>
          <w:sz w:val="24"/>
          <w:szCs w:val="24"/>
          <w:lang w:eastAsia="ru-RU"/>
        </w:rPr>
        <w:t>Economy</w:t>
      </w:r>
      <w:proofErr w:type="spellEnd"/>
      <w:r w:rsidRPr="00E74C43">
        <w:rPr>
          <w:rFonts w:ascii="Times New Roman" w:eastAsia="Times New Roman" w:hAnsi="Times New Roman" w:cs="Times New Roman"/>
          <w:i/>
          <w:iCs/>
          <w:sz w:val="24"/>
          <w:szCs w:val="24"/>
          <w:lang w:eastAsia="ru-RU"/>
        </w:rPr>
        <w:t xml:space="preserve"> </w:t>
      </w:r>
      <w:proofErr w:type="spellStart"/>
      <w:r w:rsidRPr="00E74C43">
        <w:rPr>
          <w:rFonts w:ascii="Times New Roman" w:eastAsia="Times New Roman" w:hAnsi="Times New Roman" w:cs="Times New Roman"/>
          <w:i/>
          <w:iCs/>
          <w:sz w:val="24"/>
          <w:szCs w:val="24"/>
          <w:lang w:eastAsia="ru-RU"/>
        </w:rPr>
        <w:t>and</w:t>
      </w:r>
      <w:proofErr w:type="spellEnd"/>
      <w:r w:rsidRPr="00E74C43">
        <w:rPr>
          <w:rFonts w:ascii="Times New Roman" w:eastAsia="Times New Roman" w:hAnsi="Times New Roman" w:cs="Times New Roman"/>
          <w:i/>
          <w:iCs/>
          <w:sz w:val="24"/>
          <w:szCs w:val="24"/>
          <w:lang w:eastAsia="ru-RU"/>
        </w:rPr>
        <w:t xml:space="preserve"> Finance</w:t>
      </w:r>
      <w:r w:rsidRPr="00E74C43">
        <w:rPr>
          <w:rFonts w:ascii="Times New Roman" w:eastAsia="Times New Roman" w:hAnsi="Times New Roman" w:cs="Times New Roman"/>
          <w:sz w:val="24"/>
          <w:szCs w:val="24"/>
          <w:lang w:eastAsia="ru-RU"/>
        </w:rPr>
        <w:t>. 2020;3(135):51–57.</w:t>
      </w:r>
    </w:p>
    <w:p w14:paraId="71EEA54F"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Khajiev</w:t>
      </w:r>
      <w:proofErr w:type="spellEnd"/>
      <w:r w:rsidRPr="00E74C43">
        <w:rPr>
          <w:rFonts w:ascii="Times New Roman" w:eastAsia="Times New Roman" w:hAnsi="Times New Roman" w:cs="Times New Roman"/>
          <w:sz w:val="24"/>
          <w:szCs w:val="24"/>
          <w:lang w:val="en-US" w:eastAsia="ru-RU"/>
        </w:rPr>
        <w:t xml:space="preserve"> BD. Reform of the tax system as a factor in improving distribution relations. </w:t>
      </w:r>
      <w:proofErr w:type="spellStart"/>
      <w:r w:rsidRPr="00E74C43">
        <w:rPr>
          <w:rFonts w:ascii="Times New Roman" w:eastAsia="Times New Roman" w:hAnsi="Times New Roman" w:cs="Times New Roman"/>
          <w:i/>
          <w:iCs/>
          <w:sz w:val="24"/>
          <w:szCs w:val="24"/>
          <w:lang w:eastAsia="ru-RU"/>
        </w:rPr>
        <w:t>Economy</w:t>
      </w:r>
      <w:proofErr w:type="spellEnd"/>
      <w:r w:rsidRPr="00E74C43">
        <w:rPr>
          <w:rFonts w:ascii="Times New Roman" w:eastAsia="Times New Roman" w:hAnsi="Times New Roman" w:cs="Times New Roman"/>
          <w:i/>
          <w:iCs/>
          <w:sz w:val="24"/>
          <w:szCs w:val="24"/>
          <w:lang w:eastAsia="ru-RU"/>
        </w:rPr>
        <w:t xml:space="preserve"> </w:t>
      </w:r>
      <w:proofErr w:type="spellStart"/>
      <w:r w:rsidRPr="00E74C43">
        <w:rPr>
          <w:rFonts w:ascii="Times New Roman" w:eastAsia="Times New Roman" w:hAnsi="Times New Roman" w:cs="Times New Roman"/>
          <w:i/>
          <w:iCs/>
          <w:sz w:val="24"/>
          <w:szCs w:val="24"/>
          <w:lang w:eastAsia="ru-RU"/>
        </w:rPr>
        <w:t>and</w:t>
      </w:r>
      <w:proofErr w:type="spellEnd"/>
      <w:r w:rsidRPr="00E74C43">
        <w:rPr>
          <w:rFonts w:ascii="Times New Roman" w:eastAsia="Times New Roman" w:hAnsi="Times New Roman" w:cs="Times New Roman"/>
          <w:i/>
          <w:iCs/>
          <w:sz w:val="24"/>
          <w:szCs w:val="24"/>
          <w:lang w:eastAsia="ru-RU"/>
        </w:rPr>
        <w:t xml:space="preserve"> Finance</w:t>
      </w:r>
      <w:r w:rsidRPr="00E74C43">
        <w:rPr>
          <w:rFonts w:ascii="Times New Roman" w:eastAsia="Times New Roman" w:hAnsi="Times New Roman" w:cs="Times New Roman"/>
          <w:sz w:val="24"/>
          <w:szCs w:val="24"/>
          <w:lang w:eastAsia="ru-RU"/>
        </w:rPr>
        <w:t>. 2022;4(152):20–25.</w:t>
      </w:r>
    </w:p>
    <w:p w14:paraId="6B48B7A4"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Pardaeva</w:t>
      </w:r>
      <w:proofErr w:type="spellEnd"/>
      <w:r w:rsidRPr="00E74C43">
        <w:rPr>
          <w:rFonts w:ascii="Times New Roman" w:eastAsia="Times New Roman" w:hAnsi="Times New Roman" w:cs="Times New Roman"/>
          <w:sz w:val="24"/>
          <w:szCs w:val="24"/>
          <w:lang w:val="en-US" w:eastAsia="ru-RU"/>
        </w:rPr>
        <w:t xml:space="preserve"> ZA, </w:t>
      </w:r>
      <w:proofErr w:type="spellStart"/>
      <w:r w:rsidRPr="00E74C43">
        <w:rPr>
          <w:rFonts w:ascii="Times New Roman" w:eastAsia="Times New Roman" w:hAnsi="Times New Roman" w:cs="Times New Roman"/>
          <w:sz w:val="24"/>
          <w:szCs w:val="24"/>
          <w:lang w:val="en-US" w:eastAsia="ru-RU"/>
        </w:rPr>
        <w:t>Normatova</w:t>
      </w:r>
      <w:proofErr w:type="spellEnd"/>
      <w:r w:rsidRPr="00E74C43">
        <w:rPr>
          <w:rFonts w:ascii="Times New Roman" w:eastAsia="Times New Roman" w:hAnsi="Times New Roman" w:cs="Times New Roman"/>
          <w:sz w:val="24"/>
          <w:szCs w:val="24"/>
          <w:lang w:val="en-US" w:eastAsia="ru-RU"/>
        </w:rPr>
        <w:t xml:space="preserve"> </w:t>
      </w:r>
      <w:proofErr w:type="spellStart"/>
      <w:r w:rsidRPr="00E74C43">
        <w:rPr>
          <w:rFonts w:ascii="Times New Roman" w:eastAsia="Times New Roman" w:hAnsi="Times New Roman" w:cs="Times New Roman"/>
          <w:sz w:val="24"/>
          <w:szCs w:val="24"/>
          <w:lang w:val="en-US" w:eastAsia="ru-RU"/>
        </w:rPr>
        <w:t>GKh</w:t>
      </w:r>
      <w:proofErr w:type="spellEnd"/>
      <w:r w:rsidRPr="00E74C43">
        <w:rPr>
          <w:rFonts w:ascii="Times New Roman" w:eastAsia="Times New Roman" w:hAnsi="Times New Roman" w:cs="Times New Roman"/>
          <w:sz w:val="24"/>
          <w:szCs w:val="24"/>
          <w:lang w:val="en-US" w:eastAsia="ru-RU"/>
        </w:rPr>
        <w:t xml:space="preserve">, </w:t>
      </w:r>
      <w:proofErr w:type="spellStart"/>
      <w:r w:rsidRPr="00E74C43">
        <w:rPr>
          <w:rFonts w:ascii="Times New Roman" w:eastAsia="Times New Roman" w:hAnsi="Times New Roman" w:cs="Times New Roman"/>
          <w:sz w:val="24"/>
          <w:szCs w:val="24"/>
          <w:lang w:val="en-US" w:eastAsia="ru-RU"/>
        </w:rPr>
        <w:t>Abdullaeva</w:t>
      </w:r>
      <w:proofErr w:type="spellEnd"/>
      <w:r w:rsidRPr="00E74C43">
        <w:rPr>
          <w:rFonts w:ascii="Times New Roman" w:eastAsia="Times New Roman" w:hAnsi="Times New Roman" w:cs="Times New Roman"/>
          <w:sz w:val="24"/>
          <w:szCs w:val="24"/>
          <w:lang w:val="en-US" w:eastAsia="ru-RU"/>
        </w:rPr>
        <w:t xml:space="preserve"> </w:t>
      </w:r>
      <w:proofErr w:type="spellStart"/>
      <w:r w:rsidRPr="00E74C43">
        <w:rPr>
          <w:rFonts w:ascii="Times New Roman" w:eastAsia="Times New Roman" w:hAnsi="Times New Roman" w:cs="Times New Roman"/>
          <w:sz w:val="24"/>
          <w:szCs w:val="24"/>
          <w:lang w:val="en-US" w:eastAsia="ru-RU"/>
        </w:rPr>
        <w:t>ShE</w:t>
      </w:r>
      <w:proofErr w:type="spellEnd"/>
      <w:r w:rsidRPr="00E74C43">
        <w:rPr>
          <w:rFonts w:ascii="Times New Roman" w:eastAsia="Times New Roman" w:hAnsi="Times New Roman" w:cs="Times New Roman"/>
          <w:sz w:val="24"/>
          <w:szCs w:val="24"/>
          <w:lang w:val="en-US" w:eastAsia="ru-RU"/>
        </w:rPr>
        <w:t xml:space="preserve">. Improvement of tax policy in the Republic of Uzbekistan. </w:t>
      </w:r>
      <w:r w:rsidRPr="00E74C43">
        <w:rPr>
          <w:rFonts w:ascii="Times New Roman" w:eastAsia="Times New Roman" w:hAnsi="Times New Roman" w:cs="Times New Roman"/>
          <w:i/>
          <w:iCs/>
          <w:sz w:val="24"/>
          <w:szCs w:val="24"/>
          <w:lang w:eastAsia="ru-RU"/>
        </w:rPr>
        <w:t xml:space="preserve">Young </w:t>
      </w:r>
      <w:proofErr w:type="spellStart"/>
      <w:r w:rsidRPr="00E74C43">
        <w:rPr>
          <w:rFonts w:ascii="Times New Roman" w:eastAsia="Times New Roman" w:hAnsi="Times New Roman" w:cs="Times New Roman"/>
          <w:i/>
          <w:iCs/>
          <w:sz w:val="24"/>
          <w:szCs w:val="24"/>
          <w:lang w:eastAsia="ru-RU"/>
        </w:rPr>
        <w:t>Scientist</w:t>
      </w:r>
      <w:proofErr w:type="spellEnd"/>
      <w:r w:rsidRPr="00E74C43">
        <w:rPr>
          <w:rFonts w:ascii="Times New Roman" w:eastAsia="Times New Roman" w:hAnsi="Times New Roman" w:cs="Times New Roman"/>
          <w:sz w:val="24"/>
          <w:szCs w:val="24"/>
          <w:lang w:eastAsia="ru-RU"/>
        </w:rPr>
        <w:t>. 2017;14(148):411–413.</w:t>
      </w:r>
    </w:p>
    <w:p w14:paraId="5FB9F6CD"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74C43">
        <w:rPr>
          <w:rFonts w:ascii="Times New Roman" w:eastAsia="Times New Roman" w:hAnsi="Times New Roman" w:cs="Times New Roman"/>
          <w:sz w:val="24"/>
          <w:szCs w:val="24"/>
          <w:lang w:val="en-US" w:eastAsia="ru-RU"/>
        </w:rPr>
        <w:t>Niyazmetov</w:t>
      </w:r>
      <w:proofErr w:type="spellEnd"/>
      <w:r w:rsidRPr="00E74C43">
        <w:rPr>
          <w:rFonts w:ascii="Times New Roman" w:eastAsia="Times New Roman" w:hAnsi="Times New Roman" w:cs="Times New Roman"/>
          <w:sz w:val="24"/>
          <w:szCs w:val="24"/>
          <w:lang w:val="en-US" w:eastAsia="ru-RU"/>
        </w:rPr>
        <w:t xml:space="preserve"> I, </w:t>
      </w:r>
      <w:proofErr w:type="spellStart"/>
      <w:r w:rsidRPr="00E74C43">
        <w:rPr>
          <w:rFonts w:ascii="Times New Roman" w:eastAsia="Times New Roman" w:hAnsi="Times New Roman" w:cs="Times New Roman"/>
          <w:sz w:val="24"/>
          <w:szCs w:val="24"/>
          <w:lang w:val="en-US" w:eastAsia="ru-RU"/>
        </w:rPr>
        <w:t>Amonova</w:t>
      </w:r>
      <w:proofErr w:type="spellEnd"/>
      <w:r w:rsidRPr="00E74C43">
        <w:rPr>
          <w:rFonts w:ascii="Times New Roman" w:eastAsia="Times New Roman" w:hAnsi="Times New Roman" w:cs="Times New Roman"/>
          <w:sz w:val="24"/>
          <w:szCs w:val="24"/>
          <w:lang w:val="en-US" w:eastAsia="ru-RU"/>
        </w:rPr>
        <w:t xml:space="preserve"> R, Voronin S. Tax reform in preliminary results. </w:t>
      </w:r>
      <w:r w:rsidRPr="00E74C43">
        <w:rPr>
          <w:rFonts w:ascii="Times New Roman" w:eastAsia="Times New Roman" w:hAnsi="Times New Roman" w:cs="Times New Roman"/>
          <w:i/>
          <w:iCs/>
          <w:sz w:val="24"/>
          <w:szCs w:val="24"/>
          <w:lang w:eastAsia="ru-RU"/>
        </w:rPr>
        <w:t>Economic Review</w:t>
      </w:r>
      <w:r w:rsidRPr="00E74C43">
        <w:rPr>
          <w:rFonts w:ascii="Times New Roman" w:eastAsia="Times New Roman" w:hAnsi="Times New Roman" w:cs="Times New Roman"/>
          <w:sz w:val="24"/>
          <w:szCs w:val="24"/>
          <w:lang w:eastAsia="ru-RU"/>
        </w:rPr>
        <w:t>. 2021;5(257).</w:t>
      </w:r>
    </w:p>
    <w:p w14:paraId="7C3E09C9" w14:textId="77777777" w:rsidR="00E74C43" w:rsidRPr="00E74C43" w:rsidRDefault="00E74C43" w:rsidP="00E74C4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E74C43">
        <w:rPr>
          <w:rFonts w:ascii="Times New Roman" w:eastAsia="Times New Roman" w:hAnsi="Times New Roman" w:cs="Times New Roman"/>
          <w:sz w:val="24"/>
          <w:szCs w:val="24"/>
          <w:lang w:val="en-US" w:eastAsia="ru-RU"/>
        </w:rPr>
        <w:t>Staroverova</w:t>
      </w:r>
      <w:proofErr w:type="spellEnd"/>
      <w:r w:rsidRPr="00E74C43">
        <w:rPr>
          <w:rFonts w:ascii="Times New Roman" w:eastAsia="Times New Roman" w:hAnsi="Times New Roman" w:cs="Times New Roman"/>
          <w:sz w:val="24"/>
          <w:szCs w:val="24"/>
          <w:lang w:val="en-US" w:eastAsia="ru-RU"/>
        </w:rPr>
        <w:t xml:space="preserve"> OV. Digital technologies in tax administration. </w:t>
      </w:r>
      <w:r w:rsidRPr="00E74C43">
        <w:rPr>
          <w:rFonts w:ascii="Times New Roman" w:eastAsia="Times New Roman" w:hAnsi="Times New Roman" w:cs="Times New Roman"/>
          <w:i/>
          <w:iCs/>
          <w:sz w:val="24"/>
          <w:szCs w:val="24"/>
          <w:lang w:val="en-US" w:eastAsia="ru-RU"/>
        </w:rPr>
        <w:t>Bulletin of Economic Security</w:t>
      </w:r>
      <w:r w:rsidRPr="00E74C43">
        <w:rPr>
          <w:rFonts w:ascii="Times New Roman" w:eastAsia="Times New Roman" w:hAnsi="Times New Roman" w:cs="Times New Roman"/>
          <w:sz w:val="24"/>
          <w:szCs w:val="24"/>
          <w:lang w:val="en-US" w:eastAsia="ru-RU"/>
        </w:rPr>
        <w:t xml:space="preserve">. </w:t>
      </w:r>
      <w:proofErr w:type="gramStart"/>
      <w:r w:rsidRPr="00E74C43">
        <w:rPr>
          <w:rFonts w:ascii="Times New Roman" w:eastAsia="Times New Roman" w:hAnsi="Times New Roman" w:cs="Times New Roman"/>
          <w:sz w:val="24"/>
          <w:szCs w:val="24"/>
          <w:lang w:val="en-US" w:eastAsia="ru-RU"/>
        </w:rPr>
        <w:t>2023;1:266</w:t>
      </w:r>
      <w:proofErr w:type="gramEnd"/>
      <w:r w:rsidRPr="00E74C43">
        <w:rPr>
          <w:rFonts w:ascii="Times New Roman" w:eastAsia="Times New Roman" w:hAnsi="Times New Roman" w:cs="Times New Roman"/>
          <w:sz w:val="24"/>
          <w:szCs w:val="24"/>
          <w:lang w:val="en-US" w:eastAsia="ru-RU"/>
        </w:rPr>
        <w:t>–269. https://doi.org/10.24412/2414-3995-2023-1-266-269</w:t>
      </w:r>
    </w:p>
    <w:p w14:paraId="58B2B7BA" w14:textId="5B3F3BD3" w:rsidR="00092E26" w:rsidRDefault="00092E26" w:rsidP="006B64B6">
      <w:pPr>
        <w:spacing w:after="0" w:line="276" w:lineRule="auto"/>
        <w:jc w:val="both"/>
        <w:rPr>
          <w:rFonts w:ascii="Times New Roman" w:eastAsia="Times New Roman" w:hAnsi="Times New Roman" w:cs="Times New Roman"/>
          <w:sz w:val="24"/>
          <w:szCs w:val="24"/>
          <w:lang w:val="en-US" w:eastAsia="ru-RU"/>
        </w:rPr>
      </w:pPr>
    </w:p>
    <w:sectPr w:rsidR="00092E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2AFD" w14:textId="77777777" w:rsidR="003C2C90" w:rsidRDefault="003C2C90" w:rsidP="0036465C">
      <w:pPr>
        <w:spacing w:after="0" w:line="240" w:lineRule="auto"/>
      </w:pPr>
      <w:r>
        <w:separator/>
      </w:r>
    </w:p>
  </w:endnote>
  <w:endnote w:type="continuationSeparator" w:id="0">
    <w:p w14:paraId="22E973DC" w14:textId="77777777" w:rsidR="003C2C90" w:rsidRDefault="003C2C90" w:rsidP="0036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8CF2" w14:textId="77777777" w:rsidR="003C2C90" w:rsidRDefault="003C2C90" w:rsidP="0036465C">
      <w:pPr>
        <w:spacing w:after="0" w:line="240" w:lineRule="auto"/>
      </w:pPr>
      <w:r>
        <w:separator/>
      </w:r>
    </w:p>
  </w:footnote>
  <w:footnote w:type="continuationSeparator" w:id="0">
    <w:p w14:paraId="7EBB18DC" w14:textId="77777777" w:rsidR="003C2C90" w:rsidRDefault="003C2C90" w:rsidP="0036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79CB"/>
    <w:multiLevelType w:val="multilevel"/>
    <w:tmpl w:val="4E1E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91A97"/>
    <w:multiLevelType w:val="multilevel"/>
    <w:tmpl w:val="8C1E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3143B"/>
    <w:multiLevelType w:val="multilevel"/>
    <w:tmpl w:val="8788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C0BF0"/>
    <w:multiLevelType w:val="multilevel"/>
    <w:tmpl w:val="64F8D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E72F3"/>
    <w:multiLevelType w:val="multilevel"/>
    <w:tmpl w:val="3C528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946A3"/>
    <w:multiLevelType w:val="multilevel"/>
    <w:tmpl w:val="1F6C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6061C"/>
    <w:multiLevelType w:val="multilevel"/>
    <w:tmpl w:val="25184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209D"/>
    <w:multiLevelType w:val="multilevel"/>
    <w:tmpl w:val="AE42A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BE10A41"/>
    <w:multiLevelType w:val="multilevel"/>
    <w:tmpl w:val="366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BB72B9"/>
    <w:multiLevelType w:val="multilevel"/>
    <w:tmpl w:val="ECF6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A658D"/>
    <w:multiLevelType w:val="multilevel"/>
    <w:tmpl w:val="5F00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B34AC5"/>
    <w:multiLevelType w:val="multilevel"/>
    <w:tmpl w:val="553C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B5153C"/>
    <w:multiLevelType w:val="multilevel"/>
    <w:tmpl w:val="8C9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9F6F12"/>
    <w:multiLevelType w:val="multilevel"/>
    <w:tmpl w:val="C796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9"/>
  </w:num>
  <w:num w:numId="4">
    <w:abstractNumId w:val="2"/>
  </w:num>
  <w:num w:numId="5">
    <w:abstractNumId w:val="11"/>
  </w:num>
  <w:num w:numId="6">
    <w:abstractNumId w:val="13"/>
  </w:num>
  <w:num w:numId="7">
    <w:abstractNumId w:val="10"/>
  </w:num>
  <w:num w:numId="8">
    <w:abstractNumId w:val="3"/>
  </w:num>
  <w:num w:numId="9">
    <w:abstractNumId w:val="4"/>
  </w:num>
  <w:num w:numId="10">
    <w:abstractNumId w:val="0"/>
  </w:num>
  <w:num w:numId="11">
    <w:abstractNumId w:val="6"/>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88"/>
    <w:rsid w:val="00013888"/>
    <w:rsid w:val="00092E26"/>
    <w:rsid w:val="00363C9A"/>
    <w:rsid w:val="0036465C"/>
    <w:rsid w:val="003C2C90"/>
    <w:rsid w:val="00544828"/>
    <w:rsid w:val="005E7926"/>
    <w:rsid w:val="006821C6"/>
    <w:rsid w:val="006B64B6"/>
    <w:rsid w:val="006D4851"/>
    <w:rsid w:val="009870F9"/>
    <w:rsid w:val="00A00EA6"/>
    <w:rsid w:val="00BB65FF"/>
    <w:rsid w:val="00C42166"/>
    <w:rsid w:val="00C84554"/>
    <w:rsid w:val="00E270FF"/>
    <w:rsid w:val="00E74C43"/>
    <w:rsid w:val="00E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7E0D"/>
  <w15:chartTrackingRefBased/>
  <w15:docId w15:val="{C7142007-F632-46E0-BED5-05B56694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8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6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465C"/>
  </w:style>
  <w:style w:type="paragraph" w:styleId="a5">
    <w:name w:val="footer"/>
    <w:basedOn w:val="a"/>
    <w:link w:val="a6"/>
    <w:uiPriority w:val="99"/>
    <w:unhideWhenUsed/>
    <w:rsid w:val="003646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465C"/>
  </w:style>
  <w:style w:type="character" w:customStyle="1" w:styleId="katex-mathml">
    <w:name w:val="katex-mathml"/>
    <w:basedOn w:val="a0"/>
    <w:rsid w:val="0036465C"/>
  </w:style>
  <w:style w:type="character" w:customStyle="1" w:styleId="mord">
    <w:name w:val="mord"/>
    <w:basedOn w:val="a0"/>
    <w:rsid w:val="0036465C"/>
  </w:style>
  <w:style w:type="character" w:customStyle="1" w:styleId="vlist-s">
    <w:name w:val="vlist-s"/>
    <w:basedOn w:val="a0"/>
    <w:rsid w:val="0036465C"/>
  </w:style>
  <w:style w:type="character" w:styleId="a7">
    <w:name w:val="Hyperlink"/>
    <w:basedOn w:val="a0"/>
    <w:uiPriority w:val="99"/>
    <w:semiHidden/>
    <w:unhideWhenUsed/>
    <w:rsid w:val="00092E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9296">
      <w:bodyDiv w:val="1"/>
      <w:marLeft w:val="0"/>
      <w:marRight w:val="0"/>
      <w:marTop w:val="0"/>
      <w:marBottom w:val="0"/>
      <w:divBdr>
        <w:top w:val="none" w:sz="0" w:space="0" w:color="auto"/>
        <w:left w:val="none" w:sz="0" w:space="0" w:color="auto"/>
        <w:bottom w:val="none" w:sz="0" w:space="0" w:color="auto"/>
        <w:right w:val="none" w:sz="0" w:space="0" w:color="auto"/>
      </w:divBdr>
    </w:div>
    <w:div w:id="15957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urnals.researchparks.org/index.php/IJOT/article/view/335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x.uz/ru/docs/3802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4063</Words>
  <Characters>23165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Салохиддин</dc:creator>
  <cp:keywords/>
  <dc:description/>
  <cp:lastModifiedBy>Салохиддин</cp:lastModifiedBy>
  <cp:revision>15</cp:revision>
  <dcterms:created xsi:type="dcterms:W3CDTF">2026-02-14T17:13:00Z</dcterms:created>
  <dcterms:modified xsi:type="dcterms:W3CDTF">2026-02-14T18:11:00Z</dcterms:modified>
</cp:coreProperties>
</file>