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4C47F" w14:textId="77777777" w:rsidR="00EA79A7" w:rsidRDefault="00EA79A7" w:rsidP="00DD0B52">
      <w:pPr>
        <w:rPr>
          <w:b/>
          <w:bCs/>
          <w:sz w:val="32"/>
          <w:szCs w:val="32"/>
        </w:rPr>
      </w:pPr>
    </w:p>
    <w:p w14:paraId="5842FA2D" w14:textId="77777777" w:rsidR="00AD7143" w:rsidRDefault="00AD7143" w:rsidP="00DD0B52">
      <w:pPr>
        <w:rPr>
          <w:b/>
          <w:bCs/>
          <w:sz w:val="32"/>
          <w:szCs w:val="32"/>
        </w:rPr>
      </w:pPr>
      <w:r w:rsidRPr="007D5E4A">
        <w:rPr>
          <w:b/>
          <w:bCs/>
          <w:sz w:val="32"/>
          <w:szCs w:val="32"/>
        </w:rPr>
        <w:t>Do Demographic Shifts and Economic Indicators Affect Fertility Rates: Evidence from Global Panel Data Analysis</w:t>
      </w:r>
    </w:p>
    <w:p w14:paraId="1C847979" w14:textId="77777777" w:rsidR="00D6009F" w:rsidRDefault="00D6009F" w:rsidP="00DD0B52">
      <w:pPr>
        <w:rPr>
          <w:b/>
          <w:bCs/>
          <w:sz w:val="32"/>
          <w:szCs w:val="32"/>
        </w:rPr>
      </w:pPr>
    </w:p>
    <w:p w14:paraId="2134EABB" w14:textId="4FAC5548" w:rsidR="00D6009F" w:rsidRPr="00DE512E" w:rsidRDefault="00C645FC" w:rsidP="00DD0B52">
      <w:pPr>
        <w:rPr>
          <w:b/>
          <w:bCs/>
          <w:vertAlign w:val="superscript"/>
        </w:rPr>
      </w:pPr>
      <w:r>
        <w:rPr>
          <w:b/>
          <w:bCs/>
        </w:rPr>
        <w:t>Sharayu Puranik</w:t>
      </w:r>
      <w:r>
        <w:rPr>
          <w:b/>
          <w:bCs/>
          <w:vertAlign w:val="superscript"/>
        </w:rPr>
        <w:t>1</w:t>
      </w:r>
      <w:r w:rsidRPr="007012F2">
        <w:rPr>
          <w:b/>
          <w:bCs/>
        </w:rPr>
        <w:t xml:space="preserve"> ·</w:t>
      </w:r>
      <w:r>
        <w:rPr>
          <w:b/>
          <w:bCs/>
        </w:rPr>
        <w:t xml:space="preserve"> </w:t>
      </w:r>
      <w:r w:rsidR="00DE512E">
        <w:rPr>
          <w:b/>
          <w:bCs/>
        </w:rPr>
        <w:t>Naman Upadhyaya</w:t>
      </w:r>
      <w:r>
        <w:rPr>
          <w:b/>
          <w:bCs/>
          <w:vertAlign w:val="superscript"/>
        </w:rPr>
        <w:t>2</w:t>
      </w:r>
      <w:r w:rsidR="00DE512E" w:rsidRPr="00DE512E">
        <w:rPr>
          <w:b/>
          <w:bCs/>
        </w:rPr>
        <w:t>·</w:t>
      </w:r>
      <w:r w:rsidR="00DE512E">
        <w:rPr>
          <w:b/>
          <w:bCs/>
        </w:rPr>
        <w:t xml:space="preserve"> </w:t>
      </w:r>
      <w:r w:rsidR="007012F2">
        <w:rPr>
          <w:b/>
          <w:bCs/>
        </w:rPr>
        <w:t>Siba Panda</w:t>
      </w:r>
      <w:r>
        <w:rPr>
          <w:b/>
          <w:bCs/>
          <w:vertAlign w:val="superscript"/>
        </w:rPr>
        <w:t>3</w:t>
      </w:r>
    </w:p>
    <w:p w14:paraId="061DBE43" w14:textId="77777777" w:rsidR="00AD7143" w:rsidRPr="007D5E4A" w:rsidRDefault="00AD7143" w:rsidP="00DD0B52">
      <w:pPr>
        <w:rPr>
          <w:b/>
          <w:bCs/>
        </w:rPr>
      </w:pPr>
    </w:p>
    <w:p w14:paraId="3E18B7E7" w14:textId="77777777" w:rsidR="00CF3F26" w:rsidRDefault="00CF3F26" w:rsidP="00DD0B52">
      <w:pPr>
        <w:rPr>
          <w:b/>
          <w:bCs/>
        </w:rPr>
      </w:pPr>
      <w:r w:rsidRPr="007D5E4A">
        <w:rPr>
          <w:b/>
          <w:bCs/>
        </w:rPr>
        <w:t>Abstract</w:t>
      </w:r>
    </w:p>
    <w:p w14:paraId="5553EF29" w14:textId="77777777" w:rsidR="00D07320" w:rsidRPr="007D5E4A" w:rsidRDefault="00D07320" w:rsidP="00DD0B52">
      <w:pPr>
        <w:rPr>
          <w:b/>
          <w:bCs/>
        </w:rPr>
      </w:pPr>
    </w:p>
    <w:p w14:paraId="100AD45C" w14:textId="77777777" w:rsidR="00680542" w:rsidRDefault="00680542" w:rsidP="00DD0B52">
      <w:r w:rsidRPr="00680542">
        <w:t>This study examines the intricate relationships between fertility rates, demographic shifts, and economic indicators, exploring their combined impact on global economic development. Utilizing a comprehensive global dataset, we analyze key factors—life expectancy, population growth, income levels, urbanization, and mean age at childbearing—to uncover the principal determinants of fertility trends across diverse economic and cultural contexts. Employing a robust methodological framework, including panel data analysis, Principal Component Analysis (PCA), and Random Forest regression, we assess both within- and between-country variations in fertility and their implications for economic growth.</w:t>
      </w:r>
    </w:p>
    <w:p w14:paraId="0A818672" w14:textId="77777777" w:rsidR="00680542" w:rsidRPr="00680542" w:rsidRDefault="00680542" w:rsidP="00DD0B52"/>
    <w:p w14:paraId="260F7FA9" w14:textId="77777777" w:rsidR="00680542" w:rsidRDefault="00680542" w:rsidP="00DD0B52">
      <w:r w:rsidRPr="00680542">
        <w:t>The findings underscore a complex, often inverse relationship between fertility rates and economic indicators, suggesting that improvements in healthcare, income levels, and education are associated with declining fertility rates, especially in high-income regions. Additionally, the study highlights significant policy implications, advocating for targeted interventions in family planning, female education, and healthcare to promote sustainable economic growth, particularly in lower-income regions where high fertility persists. This research offers valuable insights for policymakers aiming to balance demographic trends with economic development goals, reinforcing the role of tailored policies in addressing regional fertility and economic challenges.</w:t>
      </w:r>
    </w:p>
    <w:p w14:paraId="3BA12B5F" w14:textId="77777777" w:rsidR="00680542" w:rsidRPr="00680542" w:rsidRDefault="00680542" w:rsidP="00DD0B52"/>
    <w:p w14:paraId="31099F19" w14:textId="77777777" w:rsidR="00680542" w:rsidRPr="00680542" w:rsidRDefault="00680542" w:rsidP="00DD0B52">
      <w:r w:rsidRPr="00680542">
        <w:rPr>
          <w:b/>
          <w:bCs/>
        </w:rPr>
        <w:t>Keywords:</w:t>
      </w:r>
      <w:r w:rsidRPr="00680542">
        <w:t xml:space="preserve"> Fertility Rates, Economic Development, Life Expectancy, Urbanization, Income Levels, Panel Data Analysis, Principal Component Analysis, Random Forest</w:t>
      </w:r>
    </w:p>
    <w:p w14:paraId="592955C7" w14:textId="77777777" w:rsidR="00CF3F26" w:rsidRPr="007D5E4A" w:rsidRDefault="00000000" w:rsidP="00DD0B52">
      <w:r>
        <w:rPr>
          <w:noProof/>
          <w14:ligatures w14:val="standardContextual"/>
        </w:rPr>
        <w:pict w14:anchorId="5952FBFB">
          <v:rect id="_x0000_i1025" alt="" style="width:451.3pt;height:.05pt;mso-width-percent:0;mso-height-percent:0;mso-width-percent:0;mso-height-percent:0" o:hralign="center" o:hrstd="t" o:hr="t" fillcolor="#a0a0a0" stroked="f"/>
        </w:pict>
      </w:r>
    </w:p>
    <w:p w14:paraId="21CC8903" w14:textId="77777777" w:rsidR="00AD7143" w:rsidRPr="007D5E4A" w:rsidRDefault="00AD7143" w:rsidP="00DD0B52">
      <w:pPr>
        <w:rPr>
          <w:b/>
          <w:bCs/>
        </w:rPr>
      </w:pPr>
    </w:p>
    <w:p w14:paraId="3EB10A23" w14:textId="77777777" w:rsidR="00AD7143" w:rsidRPr="007D5E4A" w:rsidRDefault="00AD7143" w:rsidP="00DD0B52">
      <w:pPr>
        <w:rPr>
          <w:b/>
          <w:bCs/>
        </w:rPr>
      </w:pPr>
    </w:p>
    <w:p w14:paraId="28DEB696" w14:textId="77777777" w:rsidR="00CF3F26" w:rsidRDefault="00CF3F26" w:rsidP="00DD0B52">
      <w:pPr>
        <w:rPr>
          <w:b/>
          <w:bCs/>
        </w:rPr>
      </w:pPr>
      <w:r w:rsidRPr="007D5E4A">
        <w:rPr>
          <w:b/>
          <w:bCs/>
        </w:rPr>
        <w:t>1 Introduction</w:t>
      </w:r>
    </w:p>
    <w:p w14:paraId="030F521E" w14:textId="77777777" w:rsidR="0064085D" w:rsidRDefault="0064085D" w:rsidP="00DD0B52"/>
    <w:p w14:paraId="7DCDF028" w14:textId="77777777" w:rsidR="00521D1B" w:rsidRDefault="00521D1B" w:rsidP="00DD0B52">
      <w:r>
        <w:t xml:space="preserve">The relationship between fertility rates and economic development is complex and multifaceted, reflecting a combination of demographic and socioeconomic factors. Fertility rates, defined as the average number of children a woman is expected to have, are shaped by determinants such as life expectancy, economic conditions, cultural practices, and public policy </w:t>
      </w:r>
      <w:hyperlink w:anchor="UN" w:history="1">
        <w:r w:rsidRPr="00D330B9">
          <w:rPr>
            <w:rStyle w:val="Hyperlink"/>
          </w:rPr>
          <w:t>[1]</w:t>
        </w:r>
      </w:hyperlink>
      <w:hyperlink w:anchor="no2" w:history="1">
        <w:r w:rsidR="007C37AF" w:rsidRPr="007C37AF">
          <w:rPr>
            <w:rStyle w:val="Hyperlink"/>
          </w:rPr>
          <w:t>[2]</w:t>
        </w:r>
      </w:hyperlink>
      <w:hyperlink w:anchor="no9" w:history="1">
        <w:r w:rsidR="00174047" w:rsidRPr="00FA3BC8">
          <w:rPr>
            <w:rStyle w:val="Hyperlink"/>
          </w:rPr>
          <w:t>[9]</w:t>
        </w:r>
      </w:hyperlink>
      <w:r>
        <w:t xml:space="preserve">. As countries undergo demographic shifts, changes in fertility rates significantly impact economic structures, workforce composition, and societal needs. This study delves into these dynamics, using a global dataset to analyze how fertility rates and economic development influence each other </w:t>
      </w:r>
      <w:hyperlink w:anchor="no7" w:history="1">
        <w:r w:rsidRPr="00174047">
          <w:rPr>
            <w:rStyle w:val="Hyperlink"/>
          </w:rPr>
          <w:t>[7]</w:t>
        </w:r>
      </w:hyperlink>
      <w:hyperlink w:anchor="no11" w:history="1">
        <w:r w:rsidR="00174047" w:rsidRPr="00FA3BC8">
          <w:rPr>
            <w:rStyle w:val="Hyperlink"/>
          </w:rPr>
          <w:t>[11]</w:t>
        </w:r>
      </w:hyperlink>
      <w:r>
        <w:t>.</w:t>
      </w:r>
    </w:p>
    <w:p w14:paraId="608335A1" w14:textId="77777777" w:rsidR="00521D1B" w:rsidRPr="0064085D" w:rsidRDefault="00521D1B" w:rsidP="00DD0B52"/>
    <w:p w14:paraId="24AD3F13" w14:textId="77777777" w:rsidR="0064085D" w:rsidRDefault="00521D1B" w:rsidP="00DD0B52">
      <w:r>
        <w:t xml:space="preserve">As countries experience demographic transitions, factors such as life expectancy, income levels, and urbanization become critical in understanding shifts in fertility. Higher life expectancy, for instance, often correlates with improved healthcare and better living standards, which generally leads to lower fertility rates </w:t>
      </w:r>
      <w:hyperlink w:anchor="no2" w:history="1">
        <w:r w:rsidR="007C37AF" w:rsidRPr="007C37AF">
          <w:rPr>
            <w:rStyle w:val="Hyperlink"/>
          </w:rPr>
          <w:t>[2]</w:t>
        </w:r>
      </w:hyperlink>
      <w:r>
        <w:t xml:space="preserve">. However, this relationship is nuanced; in regions like sub-Saharan Africa, traditional norms and limited healthcare access can slow the fertility decline despite rising life expectancy </w:t>
      </w:r>
      <w:hyperlink w:anchor="no3" w:history="1">
        <w:r w:rsidRPr="007C37AF">
          <w:rPr>
            <w:rStyle w:val="Hyperlink"/>
          </w:rPr>
          <w:t>[3]</w:t>
        </w:r>
      </w:hyperlink>
      <w:hyperlink w:anchor="no4" w:history="1">
        <w:r w:rsidRPr="007C37AF">
          <w:rPr>
            <w:rStyle w:val="Hyperlink"/>
          </w:rPr>
          <w:t>[4]</w:t>
        </w:r>
      </w:hyperlink>
      <w:hyperlink w:anchor="no15" w:history="1">
        <w:r w:rsidR="00174047" w:rsidRPr="00174047">
          <w:rPr>
            <w:rStyle w:val="Hyperlink"/>
          </w:rPr>
          <w:t>[15]</w:t>
        </w:r>
      </w:hyperlink>
      <w:r>
        <w:t xml:space="preserve">. Studies have shown </w:t>
      </w:r>
      <w:r>
        <w:lastRenderedPageBreak/>
        <w:t xml:space="preserve">that as life expectancy increases, especially in high-income nations, fertility rates tend to decrease due to a reduced need for larger families. This demographic transition is essential for understanding shifts in economic development, as changes in the age structure of a population can create a demographic dividend if supported by favorable policies </w:t>
      </w:r>
      <w:hyperlink w:anchor="no5" w:history="1">
        <w:r w:rsidRPr="00174047">
          <w:rPr>
            <w:rStyle w:val="Hyperlink"/>
          </w:rPr>
          <w:t>[5]</w:t>
        </w:r>
      </w:hyperlink>
      <w:r>
        <w:t>.</w:t>
      </w:r>
    </w:p>
    <w:p w14:paraId="255990B9" w14:textId="77777777" w:rsidR="00521D1B" w:rsidRDefault="00521D1B" w:rsidP="00DD0B52"/>
    <w:p w14:paraId="7811D45B" w14:textId="77777777" w:rsidR="0064085D" w:rsidRDefault="00521D1B" w:rsidP="00DD0B52">
      <w:r>
        <w:t xml:space="preserve">Urbanization, closely tied to economic growth, also affects fertility rates. The move towards urban areas often provides better access to education, healthcare, and family planning resources, leading to lower fertility rates compared to rural regions </w:t>
      </w:r>
      <w:hyperlink w:anchor="UN" w:history="1">
        <w:r w:rsidR="00D330B9" w:rsidRPr="00D330B9">
          <w:rPr>
            <w:rStyle w:val="Hyperlink"/>
          </w:rPr>
          <w:t>[1]</w:t>
        </w:r>
      </w:hyperlink>
      <w:hyperlink w:anchor="no10" w:history="1">
        <w:r w:rsidR="00174047" w:rsidRPr="00174047">
          <w:rPr>
            <w:rStyle w:val="Hyperlink"/>
          </w:rPr>
          <w:t>[10]</w:t>
        </w:r>
      </w:hyperlink>
      <w:r>
        <w:t xml:space="preserve">. In many developing countries, urban areas exhibit diverse fertility patterns, with urban populations typically showing lower fertility than rural ones. This urban-rural divide underscores the role of income levels, as access to resources is critical for managing family size </w:t>
      </w:r>
      <w:hyperlink w:anchor="no3" w:history="1">
        <w:r w:rsidR="007C37AF" w:rsidRPr="007C37AF">
          <w:rPr>
            <w:rStyle w:val="Hyperlink"/>
          </w:rPr>
          <w:t>[3]</w:t>
        </w:r>
      </w:hyperlink>
      <w:r>
        <w:t xml:space="preserve">. Income disparities further contribute to varying fertility patterns, with low-income nations generally experiencing higher fertility due to economic constraints and limited access to family planning </w:t>
      </w:r>
      <w:hyperlink w:anchor="no6" w:history="1">
        <w:r w:rsidRPr="00174047">
          <w:rPr>
            <w:rStyle w:val="Hyperlink"/>
          </w:rPr>
          <w:t>[6]</w:t>
        </w:r>
      </w:hyperlink>
      <w:hyperlink w:anchor="no12" w:history="1">
        <w:r w:rsidR="00174047" w:rsidRPr="00174047">
          <w:rPr>
            <w:rStyle w:val="Hyperlink"/>
          </w:rPr>
          <w:t>[12]</w:t>
        </w:r>
      </w:hyperlink>
      <w:r>
        <w:t xml:space="preserve">. However, economic growth and rising incomes can contribute to fertility declines, potentially yielding a demographic dividend that enhances economic growth through a reduced dependency ratio and increased investment in human capital </w:t>
      </w:r>
      <w:hyperlink w:anchor="no4" w:history="1">
        <w:r w:rsidR="007C37AF" w:rsidRPr="007C37AF">
          <w:rPr>
            <w:rStyle w:val="Hyperlink"/>
          </w:rPr>
          <w:t>[4]</w:t>
        </w:r>
      </w:hyperlink>
      <w:hyperlink w:anchor="no2" w:history="1">
        <w:hyperlink w:anchor="no2" w:history="1">
          <w:r w:rsidR="007C37AF" w:rsidRPr="007C37AF">
            <w:rPr>
              <w:rStyle w:val="Hyperlink"/>
            </w:rPr>
            <w:t>[2]</w:t>
          </w:r>
        </w:hyperlink>
      </w:hyperlink>
      <w:r>
        <w:t>.</w:t>
      </w:r>
    </w:p>
    <w:p w14:paraId="5F0CAE61" w14:textId="77777777" w:rsidR="00521D1B" w:rsidRDefault="00521D1B" w:rsidP="00DD0B52"/>
    <w:p w14:paraId="048A9AE1" w14:textId="77777777" w:rsidR="0064085D" w:rsidRDefault="00521D1B" w:rsidP="00DD0B52">
      <w:r>
        <w:t xml:space="preserve">The timing of childbearing also influences fertility rates, with wealthier nations tending to delay childbearing, which aligns with higher educational attainment and career prioritization </w:t>
      </w:r>
      <w:hyperlink w:anchor="no6" w:history="1">
        <w:r w:rsidR="00174047" w:rsidRPr="00174047">
          <w:rPr>
            <w:rStyle w:val="Hyperlink"/>
          </w:rPr>
          <w:t>[6]</w:t>
        </w:r>
      </w:hyperlink>
      <w:r>
        <w:t xml:space="preserve">. Delayed childbearing, more common in developed regions, reduces fertility rates and is associated with broader economic and social shifts. Economic indicators like GDP per capita and the Human Development Index (HDI) reveal a negative correlation with fertility rates, where higher economic development often correlates with lower fertility </w:t>
      </w:r>
      <w:hyperlink w:anchor="no7" w:history="1">
        <w:r w:rsidR="00174047" w:rsidRPr="00174047">
          <w:rPr>
            <w:rStyle w:val="Hyperlink"/>
          </w:rPr>
          <w:t>[7]</w:t>
        </w:r>
      </w:hyperlink>
      <w:hyperlink w:anchor="no13" w:history="1">
        <w:r w:rsidR="00174047" w:rsidRPr="00174047">
          <w:rPr>
            <w:rStyle w:val="Hyperlink"/>
          </w:rPr>
          <w:t>[13]</w:t>
        </w:r>
      </w:hyperlink>
      <w:r>
        <w:t xml:space="preserve">. This is explained by the lifestyle changes and economic pressures in wealthier nations, where career and education are prioritized over early childbearing </w:t>
      </w:r>
      <w:hyperlink w:anchor="no2" w:history="1">
        <w:r w:rsidR="007C37AF" w:rsidRPr="007C37AF">
          <w:rPr>
            <w:rStyle w:val="Hyperlink"/>
          </w:rPr>
          <w:t>[2]</w:t>
        </w:r>
      </w:hyperlink>
      <w:r>
        <w:t>.</w:t>
      </w:r>
    </w:p>
    <w:p w14:paraId="546462D5" w14:textId="77777777" w:rsidR="00521D1B" w:rsidRPr="0064085D" w:rsidRDefault="00521D1B" w:rsidP="00DD0B52"/>
    <w:p w14:paraId="2A306EF4" w14:textId="77777777" w:rsidR="0064085D" w:rsidRDefault="00521D1B" w:rsidP="00DD0B52">
      <w:r>
        <w:t xml:space="preserve">Research highlights the importance of policy interventions in shaping fertility rates, especially in developing regions where high fertility persists due to socioeconomic and cultural barriers </w:t>
      </w:r>
      <w:hyperlink w:anchor="no5" w:history="1">
        <w:r w:rsidR="00174047" w:rsidRPr="00174047">
          <w:rPr>
            <w:rStyle w:val="Hyperlink"/>
          </w:rPr>
          <w:t>[5]</w:t>
        </w:r>
      </w:hyperlink>
      <w:hyperlink w:anchor="no10" w:history="1">
        <w:r w:rsidR="00174047" w:rsidRPr="00174047">
          <w:rPr>
            <w:rStyle w:val="Hyperlink"/>
          </w:rPr>
          <w:t>[10]</w:t>
        </w:r>
      </w:hyperlink>
      <w:r>
        <w:t xml:space="preserve">. Targeted policies in healthcare, education, and family planning can enable fertility declines, fostering long-term economic growth and demographic stability </w:t>
      </w:r>
      <w:hyperlink w:anchor="no5" w:history="1">
        <w:r w:rsidR="00174047" w:rsidRPr="00174047">
          <w:rPr>
            <w:rStyle w:val="Hyperlink"/>
          </w:rPr>
          <w:t>[5]</w:t>
        </w:r>
      </w:hyperlink>
      <w:hyperlink w:anchor="no3" w:history="1">
        <w:r w:rsidR="007C37AF" w:rsidRPr="007C37AF">
          <w:rPr>
            <w:rStyle w:val="Hyperlink"/>
          </w:rPr>
          <w:t>[3]</w:t>
        </w:r>
      </w:hyperlink>
      <w:r>
        <w:t xml:space="preserve">. For example, investments in female education and healthcare can empower individuals to make informed family planning choices, potentially accelerating fertility transition in high-fertility regions </w:t>
      </w:r>
      <w:hyperlink w:anchor="no4" w:history="1">
        <w:r w:rsidR="007C37AF" w:rsidRPr="007C37AF">
          <w:rPr>
            <w:rStyle w:val="Hyperlink"/>
          </w:rPr>
          <w:t>[4]</w:t>
        </w:r>
      </w:hyperlink>
      <w:hyperlink w:anchor="no6" w:history="1">
        <w:r w:rsidR="00174047" w:rsidRPr="00174047">
          <w:rPr>
            <w:rStyle w:val="Hyperlink"/>
          </w:rPr>
          <w:t>[6]</w:t>
        </w:r>
      </w:hyperlink>
      <w:hyperlink w:anchor="no14" w:history="1">
        <w:r w:rsidR="00174047" w:rsidRPr="00174047">
          <w:rPr>
            <w:rStyle w:val="Hyperlink"/>
          </w:rPr>
          <w:t>[14]</w:t>
        </w:r>
      </w:hyperlink>
      <w:r>
        <w:t>. This study thus examines the intricate connections between fertility rates and economic development, aiming to provide insights for policy formulation that can address these demographic and economic challenges effectively.</w:t>
      </w:r>
    </w:p>
    <w:p w14:paraId="1F1D5DDC" w14:textId="77777777" w:rsidR="00521D1B" w:rsidRPr="0064085D" w:rsidRDefault="00521D1B" w:rsidP="00DD0B52"/>
    <w:p w14:paraId="44A684E2" w14:textId="77777777" w:rsidR="0064085D" w:rsidRDefault="006F11C8" w:rsidP="00DD0B52">
      <w:r w:rsidRPr="006F11C8">
        <w:t>This study is organized into seven sections. It begins with an introduction to the complex relationships between fertility rates, demographic shifts, and economic development, followed by a comprehensive review of relevant literature in Section 2. Section 3 outlines the study’s objectives, specifically focusing on identifying demographic and economic determinants of fertility rates and examining their combined effects on global economic outcomes. Section 4 provides detailed information on the data sources and selection of variables, while Section 5 discusses the methodological framework, which integrates panel data analysis, Principal Component Analysis (PCA), and Random Forest regression to analyze within- and between-country variations in fertility. Section 6 presents the empirical results, including the findings from the models used, with interpretations and robustness checks. Finally, Section 7 offers a discussion of policy implications, limitations, and conclusions, with recommendations aimed at guiding demographic and economic strategies to support sustainable development across diverse global contexts.</w:t>
      </w:r>
    </w:p>
    <w:p w14:paraId="4344A246" w14:textId="77777777" w:rsidR="0064085D" w:rsidRDefault="0064085D" w:rsidP="00DD0B52"/>
    <w:p w14:paraId="3B123EE8" w14:textId="77777777" w:rsidR="00341D6E" w:rsidRPr="007D5E4A" w:rsidRDefault="00341D6E" w:rsidP="00DD0B52"/>
    <w:p w14:paraId="46041E33" w14:textId="77777777" w:rsidR="004D0380" w:rsidRDefault="00CF3F26" w:rsidP="00DD0B52">
      <w:pPr>
        <w:rPr>
          <w:rStyle w:val="Strong"/>
          <w:lang w:eastAsia="en-IN"/>
        </w:rPr>
      </w:pPr>
      <w:r w:rsidRPr="007D5E4A">
        <w:rPr>
          <w:b/>
          <w:bCs/>
        </w:rPr>
        <w:t>2 Review of Literature</w:t>
      </w:r>
    </w:p>
    <w:p w14:paraId="27077527" w14:textId="77777777" w:rsidR="00DD66F6" w:rsidRPr="004D0380" w:rsidRDefault="00DD66F6" w:rsidP="00DD0B52">
      <w:pPr>
        <w:rPr>
          <w:b/>
          <w:bCs/>
        </w:rPr>
      </w:pPr>
      <w:r>
        <w:br/>
      </w:r>
      <w:r w:rsidR="00DD1F85">
        <w:t xml:space="preserve">This section explores key factors influencing fertility rates, including life expectancy, urbanization, income levels, and economic indicators, alongside the impact of policy interventions on fertility trends. Life expectancy, often inversely related to fertility, reflects improved healthcare and living standards, particularly in high-income regions where longer lifespans and lower child mortality contribute to smaller family sizes </w:t>
      </w:r>
      <w:hyperlink w:anchor="no9" w:history="1">
        <w:r w:rsidR="00174047" w:rsidRPr="00FA3BC8">
          <w:rPr>
            <w:rStyle w:val="Hyperlink"/>
          </w:rPr>
          <w:t>[9]</w:t>
        </w:r>
      </w:hyperlink>
      <w:r w:rsidR="00DD1F85">
        <w:t xml:space="preserve">. In contrast, lower-income regions, influenced by economic and cultural factors, often exhibit slower fertility transitions despite gradual improvements in life expectancy </w:t>
      </w:r>
      <w:hyperlink w:anchor="no15" w:history="1">
        <w:r w:rsidR="00C37596" w:rsidRPr="00174047">
          <w:rPr>
            <w:rStyle w:val="Hyperlink"/>
          </w:rPr>
          <w:t>[15]</w:t>
        </w:r>
      </w:hyperlink>
      <w:r w:rsidR="00DD1F85">
        <w:t>. Urbanization also plays a significant role, as access to healthcare, education, and family planning in urban areas generally leads to lower fertility rates compared to rural regions, although the effect varies depending on local resources and economic conditions</w:t>
      </w:r>
      <w:r>
        <w:t>.</w:t>
      </w:r>
    </w:p>
    <w:p w14:paraId="64261ED9" w14:textId="77777777" w:rsidR="00707C4C" w:rsidRDefault="00707C4C" w:rsidP="00DD0B52">
      <w:pPr>
        <w:pStyle w:val="NormalWeb"/>
      </w:pPr>
      <w:r>
        <w:t xml:space="preserve">Income and economic development, measured by indicators like GDP per capita and the Human Development Index (HDI), typically correlate with reduced fertility rates </w:t>
      </w:r>
      <w:hyperlink w:anchor="no11" w:history="1">
        <w:r w:rsidR="00174047" w:rsidRPr="00FA3BC8">
          <w:rPr>
            <w:rStyle w:val="Hyperlink"/>
          </w:rPr>
          <w:t>[11]</w:t>
        </w:r>
      </w:hyperlink>
      <w:r>
        <w:t xml:space="preserve">. Higher income levels encourage investments in education and healthcare, fostering lower dependency ratios and potentially leading to a demographic dividend. Additionally, delayed childbearing, which is more common in wealthier nations, further reduces fertility rates as individuals prioritize career and education. Policy interventions that enhance access to healthcare, education, and family planning are crucial, particularly in high-fertility regions, as they help address economic and cultural barriers, enabling sustainable fertility reductions and supporting broader socioeconomic development </w:t>
      </w:r>
      <w:hyperlink w:anchor="no8" w:history="1">
        <w:r w:rsidRPr="007C37AF">
          <w:rPr>
            <w:rStyle w:val="Hyperlink"/>
          </w:rPr>
          <w:t>[8]</w:t>
        </w:r>
      </w:hyperlink>
      <w:hyperlink w:anchor="no12" w:history="1">
        <w:r w:rsidR="00174047" w:rsidRPr="00174047">
          <w:rPr>
            <w:rStyle w:val="Hyperlink"/>
          </w:rPr>
          <w:t>[12]</w:t>
        </w:r>
      </w:hyperlink>
      <w:r>
        <w:t>.</w:t>
      </w:r>
    </w:p>
    <w:p w14:paraId="257A6830" w14:textId="77777777" w:rsidR="00BD5FB9" w:rsidRDefault="00DD66F6" w:rsidP="00BD5FB9">
      <w:pPr>
        <w:pStyle w:val="NormalWeb"/>
      </w:pPr>
      <w:r>
        <w:rPr>
          <w:rStyle w:val="Strong"/>
        </w:rPr>
        <w:t>2.1 Life Expectancy and Fertility Rates</w:t>
      </w:r>
    </w:p>
    <w:p w14:paraId="63FBCEDB" w14:textId="77777777" w:rsidR="00BD5FB9" w:rsidRDefault="00BD5FB9" w:rsidP="00BD5FB9">
      <w:pPr>
        <w:pStyle w:val="NormalWeb"/>
      </w:pPr>
      <w:r>
        <w:t xml:space="preserve">Life expectancy is a critical determinant of demographic and socioeconomic development, often inversely correlated with fertility rates. Higher life expectancy generally reflects improved healthcare, social stability, and living standards, which, in turn, contribute to lower fertility. This inverse relationship is especially pronounced in high-income nations where increased healthcare quality and reduced child mortality lessen the need for larger families. The United Nations (2015) highlights that regions with higher life expectancy, such as Europe, tend to have lower fertility rates </w:t>
      </w:r>
      <w:hyperlink w:anchor="UN" w:history="1">
        <w:r w:rsidR="00D330B9" w:rsidRPr="00D330B9">
          <w:rPr>
            <w:rStyle w:val="Hyperlink"/>
          </w:rPr>
          <w:t>[1]</w:t>
        </w:r>
      </w:hyperlink>
      <w:hyperlink w:anchor="no9" w:history="1">
        <w:r w:rsidR="00174047" w:rsidRPr="00FA3BC8">
          <w:rPr>
            <w:rStyle w:val="Hyperlink"/>
          </w:rPr>
          <w:t>[9]</w:t>
        </w:r>
      </w:hyperlink>
      <w:r>
        <w:t xml:space="preserve">. For instance, regions in Africa exhibit slower transitions in fertility rates, despite gradual increases in life expectancy, influenced by unique cultural and socioeconomic conditions </w:t>
      </w:r>
      <w:hyperlink w:anchor="no3" w:history="1">
        <w:r w:rsidR="007C37AF" w:rsidRPr="007C37AF">
          <w:rPr>
            <w:rStyle w:val="Hyperlink"/>
          </w:rPr>
          <w:t>[3]</w:t>
        </w:r>
      </w:hyperlink>
      <w:hyperlink w:anchor="no2" w:history="1">
        <w:r w:rsidR="007C37AF" w:rsidRPr="007C37AF">
          <w:rPr>
            <w:rStyle w:val="Hyperlink"/>
          </w:rPr>
          <w:t>[2]</w:t>
        </w:r>
      </w:hyperlink>
      <w:r>
        <w:t xml:space="preserve">. Bongaarts (2016) identifies that sub-Saharan Africa’s slower fertility transition relates to deep-rooted cultural norms and limited access to healthcare, which temper the impact of rising life expectancy on fertility reduction </w:t>
      </w:r>
      <w:hyperlink w:anchor="no3" w:history="1">
        <w:r w:rsidR="007C37AF" w:rsidRPr="007C37AF">
          <w:rPr>
            <w:rStyle w:val="Hyperlink"/>
          </w:rPr>
          <w:t>[3]</w:t>
        </w:r>
      </w:hyperlink>
      <w:r>
        <w:t xml:space="preserve">. Similarly, Bloom, Canning, and Sevilla (2001) argue that demographic transitions affecting age structures are essential to understanding economic growth patterns, as a shift in age composition due to extended life expectancy can create a demographic dividend under favorable policies </w:t>
      </w:r>
      <w:hyperlink w:anchor="no2" w:history="1">
        <w:r w:rsidR="007C37AF" w:rsidRPr="007C37AF">
          <w:rPr>
            <w:rStyle w:val="Hyperlink"/>
          </w:rPr>
          <w:t>[2]</w:t>
        </w:r>
      </w:hyperlink>
      <w:hyperlink w:anchor="no14" w:history="1">
        <w:r w:rsidR="00174047" w:rsidRPr="00174047">
          <w:rPr>
            <w:rStyle w:val="Hyperlink"/>
          </w:rPr>
          <w:t>[14]</w:t>
        </w:r>
      </w:hyperlink>
      <w:r>
        <w:t>.</w:t>
      </w:r>
    </w:p>
    <w:p w14:paraId="4E3B8418" w14:textId="77777777" w:rsidR="00BD5FB9" w:rsidRDefault="00BD5FB9" w:rsidP="00DD0B52">
      <w:pPr>
        <w:pStyle w:val="NormalWeb"/>
      </w:pPr>
      <w:r>
        <w:t xml:space="preserve">This evidence suggests that while life expectancy generally predicts fertility declines, contextual factors can mediate the relationship’s strength across regions, a finding echoed in the demographic transition theory as described by Kirk (1996) </w:t>
      </w:r>
      <w:hyperlink w:anchor="no15" w:history="1">
        <w:r w:rsidRPr="00174047">
          <w:rPr>
            <w:rStyle w:val="Hyperlink"/>
          </w:rPr>
          <w:t>[15]</w:t>
        </w:r>
      </w:hyperlink>
      <w:r>
        <w:t>.</w:t>
      </w:r>
    </w:p>
    <w:p w14:paraId="5C477312" w14:textId="77777777" w:rsidR="00A01FC5" w:rsidRDefault="00DD66F6" w:rsidP="00DD0B52">
      <w:pPr>
        <w:pStyle w:val="NormalWeb"/>
      </w:pPr>
      <w:r>
        <w:rPr>
          <w:rStyle w:val="Strong"/>
        </w:rPr>
        <w:t>2.2 Population Growth and Urbanization</w:t>
      </w:r>
      <w:r>
        <w:br/>
      </w:r>
      <w:r w:rsidR="00A01FC5" w:rsidRPr="00A01FC5">
        <w:t xml:space="preserve">Urbanization, often linked to economic growth and industrialization, has been shown to reduce fertility rates by facilitating access to education, healthcare, and family planning services. This trend is evident in urban areas within developing regions, where access to </w:t>
      </w:r>
      <w:r w:rsidR="00A01FC5" w:rsidRPr="00A01FC5">
        <w:lastRenderedPageBreak/>
        <w:t xml:space="preserve">reproductive health resources often correlates with lower fertility rates than in rural regions. Bongaarts (2016) reports that urbanized areas in sub-Saharan Africa exhibit more diverse fertility patterns, with urban populations generally displaying lower fertility than rural ones </w:t>
      </w:r>
      <w:hyperlink w:anchor="no3" w:history="1">
        <w:r w:rsidR="007C37AF" w:rsidRPr="007C37AF">
          <w:rPr>
            <w:rStyle w:val="Hyperlink"/>
          </w:rPr>
          <w:t>[3]</w:t>
        </w:r>
      </w:hyperlink>
      <w:r w:rsidR="00A01FC5" w:rsidRPr="00A01FC5">
        <w:t xml:space="preserve">. The UN’s 2015 World Fertility Patterns also supports this trend, showing that more urbanized, high-income areas are associated with reduced fertility rates due to economic constraints and lifestyle changes that favor smaller family sizes </w:t>
      </w:r>
      <w:hyperlink w:anchor="UN" w:history="1">
        <w:r w:rsidR="00D330B9" w:rsidRPr="00D330B9">
          <w:rPr>
            <w:rStyle w:val="Hyperlink"/>
          </w:rPr>
          <w:t>[1]</w:t>
        </w:r>
      </w:hyperlink>
      <w:r w:rsidR="00A01FC5" w:rsidRPr="00A01FC5">
        <w:t xml:space="preserve">. This urban-rural divide underscores that while urbanization facilitates fertility reduction, the degree of impact often depends on income levels and access to resources </w:t>
      </w:r>
      <w:hyperlink w:anchor="no10" w:history="1">
        <w:r w:rsidR="00A01FC5" w:rsidRPr="00174047">
          <w:rPr>
            <w:rStyle w:val="Hyperlink"/>
          </w:rPr>
          <w:t>[10]</w:t>
        </w:r>
      </w:hyperlink>
      <w:hyperlink w:anchor="no15" w:history="1">
        <w:r w:rsidR="00174047" w:rsidRPr="00174047">
          <w:rPr>
            <w:rStyle w:val="Hyperlink"/>
          </w:rPr>
          <w:t>[15]</w:t>
        </w:r>
      </w:hyperlink>
      <w:r w:rsidR="00A01FC5" w:rsidRPr="00A01FC5">
        <w:t>.</w:t>
      </w:r>
    </w:p>
    <w:p w14:paraId="3C165806" w14:textId="77777777" w:rsidR="00B44B2E" w:rsidRDefault="00DD66F6" w:rsidP="00DD0B52">
      <w:pPr>
        <w:pStyle w:val="NormalWeb"/>
      </w:pPr>
      <w:r>
        <w:rPr>
          <w:rStyle w:val="Strong"/>
        </w:rPr>
        <w:t>2.3 Income Levels and Fertility</w:t>
      </w:r>
      <w:r>
        <w:br/>
      </w:r>
      <w:r w:rsidR="00B44B2E" w:rsidRPr="00B44B2E">
        <w:t xml:space="preserve">Income level is a significant determinant of fertility trends, with lower-income countries generally exhibiting higher fertility rates. Research suggests that income disparities lead to varied fertility patterns, as low-income nations typically experience higher fertility due to different economic priorities and resource limitations. For instance, Bloom and Canning (2008) argue that high fertility rates in lower-income regions can restrict economic development by limiting resources available for education and healthcare </w:t>
      </w:r>
      <w:hyperlink w:anchor="no5" w:history="1">
        <w:r w:rsidR="00174047" w:rsidRPr="00174047">
          <w:rPr>
            <w:rStyle w:val="Hyperlink"/>
          </w:rPr>
          <w:t>[5]</w:t>
        </w:r>
      </w:hyperlink>
      <w:r w:rsidR="00B44B2E" w:rsidRPr="00B44B2E">
        <w:t xml:space="preserve">. The macrosimulation model by Karra, Canning, and Wilde (2017) highlights that fertility declines associated with rising income can contribute to a demographic dividend, enhancing economic growth through reduced dependency ratios and increased investment in human capital </w:t>
      </w:r>
      <w:hyperlink w:anchor="no4" w:history="1">
        <w:r w:rsidR="007C37AF" w:rsidRPr="007C37AF">
          <w:rPr>
            <w:rStyle w:val="Hyperlink"/>
          </w:rPr>
          <w:t>[4]</w:t>
        </w:r>
      </w:hyperlink>
      <w:hyperlink w:anchor="no13" w:history="1">
        <w:r w:rsidR="00174047" w:rsidRPr="00174047">
          <w:rPr>
            <w:rStyle w:val="Hyperlink"/>
          </w:rPr>
          <w:t>[13]</w:t>
        </w:r>
      </w:hyperlink>
      <w:r w:rsidR="00B44B2E" w:rsidRPr="00B44B2E">
        <w:t xml:space="preserve">. This view aligns with findings in the United Nations (2015) data, showing that many low-income countries continue to have high fertility rates, with limited reductions despite global trends towards lower fertility </w:t>
      </w:r>
      <w:hyperlink w:anchor="UN" w:history="1">
        <w:r w:rsidR="007C37AF" w:rsidRPr="00D330B9">
          <w:rPr>
            <w:rStyle w:val="Hyperlink"/>
          </w:rPr>
          <w:t>[1]</w:t>
        </w:r>
      </w:hyperlink>
      <w:r w:rsidR="00B44B2E" w:rsidRPr="00B44B2E">
        <w:t xml:space="preserve">. Therefore, while economic growth generally drives fertility decline, this effect may be slower or less pronounced in regions with persistent income disparities </w:t>
      </w:r>
      <w:hyperlink w:anchor="no8" w:history="1">
        <w:r w:rsidR="00174047" w:rsidRPr="007C37AF">
          <w:rPr>
            <w:rStyle w:val="Hyperlink"/>
          </w:rPr>
          <w:t>[8]</w:t>
        </w:r>
      </w:hyperlink>
      <w:hyperlink w:anchor="no12" w:history="1">
        <w:r w:rsidR="00174047" w:rsidRPr="00174047">
          <w:rPr>
            <w:rStyle w:val="Hyperlink"/>
          </w:rPr>
          <w:t>[12]</w:t>
        </w:r>
      </w:hyperlink>
      <w:r w:rsidR="00B44B2E" w:rsidRPr="00B44B2E">
        <w:t>.</w:t>
      </w:r>
    </w:p>
    <w:p w14:paraId="403BB9E4" w14:textId="77777777" w:rsidR="00693E0A" w:rsidRDefault="00DD66F6" w:rsidP="00DD0B52">
      <w:pPr>
        <w:pStyle w:val="NormalWeb"/>
      </w:pPr>
      <w:r>
        <w:rPr>
          <w:rStyle w:val="Strong"/>
        </w:rPr>
        <w:t>2.4 Mean Age of Childbearing</w:t>
      </w:r>
      <w:r>
        <w:br/>
      </w:r>
      <w:r w:rsidR="00693E0A" w:rsidRPr="00693E0A">
        <w:t xml:space="preserve">The age at which women have children significantly affects overall fertility rates. Delayed childbearing, more common in wealthier nations, is associated with reduced fertility and greater economic development. For instance, later childbearing aligns with higher educational attainment and career prioritization, leading to fewer children and, consequently, lower fertility rates. Bloom and Canning (2008) argue that delayed childbearing reflects broader shifts in socioeconomic conditions, where improved female labor force participation and access to contraception allow women to plan pregnancies around career and educational goals </w:t>
      </w:r>
      <w:hyperlink w:anchor="no5" w:history="1">
        <w:r w:rsidR="00174047" w:rsidRPr="00174047">
          <w:rPr>
            <w:rStyle w:val="Hyperlink"/>
          </w:rPr>
          <w:t>[5]</w:t>
        </w:r>
      </w:hyperlink>
      <w:r w:rsidR="00693E0A" w:rsidRPr="00693E0A">
        <w:t xml:space="preserve">. Moreover, as discussed in the Population and Development Review (2016), societal norms around childbearing age may slow fertility transitions in regions like sub-Saharan Africa, where early childbearing remains more common due to traditional norms </w:t>
      </w:r>
      <w:hyperlink w:anchor="no3" w:history="1">
        <w:r w:rsidR="007C37AF" w:rsidRPr="007C37AF">
          <w:rPr>
            <w:rStyle w:val="Hyperlink"/>
          </w:rPr>
          <w:t>[3]</w:t>
        </w:r>
      </w:hyperlink>
      <w:r w:rsidR="00693E0A" w:rsidRPr="00693E0A">
        <w:t xml:space="preserve">. This pattern suggests that while delayed childbearing reduces fertility in higher-income regions, achieving similar outcomes in lower-income areas may require shifts in both social norms and economic opportunities </w:t>
      </w:r>
      <w:hyperlink w:anchor="no13" w:history="1">
        <w:r w:rsidR="00693E0A" w:rsidRPr="00174047">
          <w:rPr>
            <w:rStyle w:val="Hyperlink"/>
          </w:rPr>
          <w:t>[13]</w:t>
        </w:r>
      </w:hyperlink>
      <w:hyperlink w:anchor="no14" w:history="1">
        <w:r w:rsidR="00693E0A" w:rsidRPr="00174047">
          <w:rPr>
            <w:rStyle w:val="Hyperlink"/>
          </w:rPr>
          <w:t>[14]</w:t>
        </w:r>
      </w:hyperlink>
      <w:r w:rsidR="00693E0A" w:rsidRPr="00693E0A">
        <w:t>.</w:t>
      </w:r>
    </w:p>
    <w:p w14:paraId="4E574641" w14:textId="77777777" w:rsidR="006A60CF" w:rsidRDefault="00DD66F6" w:rsidP="006A60CF">
      <w:pPr>
        <w:pStyle w:val="NormalWeb"/>
      </w:pPr>
      <w:r>
        <w:rPr>
          <w:rStyle w:val="Strong"/>
        </w:rPr>
        <w:t>2.5 Economic Indicators and Fertility</w:t>
      </w:r>
      <w:r>
        <w:br/>
      </w:r>
      <w:r w:rsidR="006A60CF">
        <w:t xml:space="preserve">Economic indicators such as GDP per capita and the Human Development Index (HDI) have long been studied for their impact on fertility rates. There is a widely observed negative relationship between economic growth and fertility, where higher economic development often correlates with lower fertility rates. This relationship is explained by the economic pressures and lifestyle changes in wealthier nations, where career and education take precedence over early and multiple childbearing </w:t>
      </w:r>
      <w:hyperlink w:anchor="no11" w:history="1">
        <w:r w:rsidR="00174047" w:rsidRPr="00FA3BC8">
          <w:rPr>
            <w:rStyle w:val="Hyperlink"/>
          </w:rPr>
          <w:t>[11]</w:t>
        </w:r>
      </w:hyperlink>
      <w:r w:rsidR="006A60CF">
        <w:t xml:space="preserve">. For instance, the NBER working paper by Bloom, Canning, and Sevilla (2001) argues that economic growth benefits from reduced fertility as it reallocates resources previously required for supporting a larger young population towards education and productivity-enhancing activities </w:t>
      </w:r>
      <w:hyperlink w:anchor="no2" w:history="1">
        <w:r w:rsidR="007C37AF" w:rsidRPr="007C37AF">
          <w:rPr>
            <w:rStyle w:val="Hyperlink"/>
          </w:rPr>
          <w:t>[2]</w:t>
        </w:r>
      </w:hyperlink>
      <w:r w:rsidR="006A60CF">
        <w:t xml:space="preserve">. Karra et al. (2017) </w:t>
      </w:r>
      <w:r w:rsidR="006A60CF">
        <w:lastRenderedPageBreak/>
        <w:t xml:space="preserve">similarly highlight that reducing fertility can positively affect economic growth by increasing labor force participation and reducing dependency ratios, particularly in Africa </w:t>
      </w:r>
      <w:hyperlink w:anchor="no4" w:history="1">
        <w:r w:rsidR="007C37AF" w:rsidRPr="007C37AF">
          <w:rPr>
            <w:rStyle w:val="Hyperlink"/>
          </w:rPr>
          <w:t>[4]</w:t>
        </w:r>
      </w:hyperlink>
      <w:r w:rsidR="006A60CF">
        <w:t xml:space="preserve">. This effect is also evident in green innovation research, where countries investing in sustainable development measures, often associated with higher HDI scores, show slower population growth rates, partly due to a preference for smaller family sizes to align with environmental and economic sustainability goals </w:t>
      </w:r>
      <w:hyperlink w:anchor="no7" w:history="1">
        <w:r w:rsidR="00174047" w:rsidRPr="00174047">
          <w:rPr>
            <w:rStyle w:val="Hyperlink"/>
          </w:rPr>
          <w:t>[7]</w:t>
        </w:r>
      </w:hyperlink>
      <w:hyperlink w:anchor="no13" w:history="1">
        <w:r w:rsidR="00174047" w:rsidRPr="00174047">
          <w:rPr>
            <w:rStyle w:val="Hyperlink"/>
          </w:rPr>
          <w:t>[13]</w:t>
        </w:r>
      </w:hyperlink>
      <w:hyperlink w:anchor="no14" w:history="1">
        <w:r w:rsidR="00174047" w:rsidRPr="00174047">
          <w:rPr>
            <w:rStyle w:val="Hyperlink"/>
          </w:rPr>
          <w:t>[14]</w:t>
        </w:r>
      </w:hyperlink>
      <w:r w:rsidR="006A60CF">
        <w:t>. Collectively, these findings indicate that economic development fosters conditions that enable lower fertility, reinforcing the need for policies that promote both economic growth and fertility reduction to maximize developmental benefits.</w:t>
      </w:r>
    </w:p>
    <w:p w14:paraId="052F1112" w14:textId="77777777" w:rsidR="005E7ED4" w:rsidRPr="007D5E4A" w:rsidRDefault="00DD66F6" w:rsidP="006A60CF">
      <w:pPr>
        <w:pStyle w:val="NormalWeb"/>
        <w:rPr>
          <w:b/>
          <w:bCs/>
        </w:rPr>
      </w:pPr>
      <w:r>
        <w:rPr>
          <w:rStyle w:val="Strong"/>
        </w:rPr>
        <w:t>2.6 Policy Interventions for Managing Fertility</w:t>
      </w:r>
      <w:r>
        <w:br/>
      </w:r>
      <w:r w:rsidR="006A60CF">
        <w:t xml:space="preserve">Research suggests that policy interventions focused on healthcare, education, and family planning can facilitate fertility declines, particularly in developing regions. For instance, Bloom and Canning (2001) emphasize that policies supporting health, education, and labor market flexibility can help countries capitalize on the demographic dividend resulting from fertility declines </w:t>
      </w:r>
      <w:hyperlink w:anchor="no5" w:history="1">
        <w:r w:rsidR="00174047" w:rsidRPr="00174047">
          <w:rPr>
            <w:rStyle w:val="Hyperlink"/>
          </w:rPr>
          <w:t>[5]</w:t>
        </w:r>
      </w:hyperlink>
      <w:r w:rsidR="006A60CF">
        <w:t xml:space="preserve">. The United Nations (2015) also underscores the importance of policy in managing fertility by enabling access to reproductive health resources, which can empower individuals to make informed family planning decisions </w:t>
      </w:r>
      <w:hyperlink w:anchor="UN" w:history="1">
        <w:r w:rsidR="007C37AF" w:rsidRPr="00D330B9">
          <w:rPr>
            <w:rStyle w:val="Hyperlink"/>
          </w:rPr>
          <w:t>[1]</w:t>
        </w:r>
      </w:hyperlink>
      <w:r w:rsidR="006A60CF">
        <w:t xml:space="preserve">. In Africa, where fertility transitions lag behind other regions, policy interventions could play a crucial role in accelerating demographic shifts. Bongaarts (2016) argues that Africa’s high fertility rates stem from both economic constraints and cultural norms, suggesting that policies promoting gender equality and expanding educational opportunities for women could accelerate fertility decline </w:t>
      </w:r>
      <w:hyperlink w:anchor="no3" w:history="1">
        <w:r w:rsidR="007C37AF" w:rsidRPr="007C37AF">
          <w:rPr>
            <w:rStyle w:val="Hyperlink"/>
          </w:rPr>
          <w:t>[3]</w:t>
        </w:r>
      </w:hyperlink>
      <w:r w:rsidR="006A60CF">
        <w:t xml:space="preserve">. Karra et al. (2017) further emphasize that investments in family planning and female education are vital for African nations aiming to harness economic benefits from reduced fertility </w:t>
      </w:r>
      <w:hyperlink w:anchor="no4" w:history="1">
        <w:r w:rsidR="007C37AF" w:rsidRPr="007C37AF">
          <w:rPr>
            <w:rStyle w:val="Hyperlink"/>
          </w:rPr>
          <w:t>[4]</w:t>
        </w:r>
      </w:hyperlink>
      <w:hyperlink w:anchor="no12" w:history="1">
        <w:r w:rsidR="006A60CF" w:rsidRPr="00174047">
          <w:rPr>
            <w:rStyle w:val="Hyperlink"/>
          </w:rPr>
          <w:t>[12]</w:t>
        </w:r>
      </w:hyperlink>
      <w:hyperlink w:anchor="no14" w:history="1">
        <w:r w:rsidR="00174047" w:rsidRPr="00174047">
          <w:rPr>
            <w:rStyle w:val="Hyperlink"/>
          </w:rPr>
          <w:t>[14]</w:t>
        </w:r>
      </w:hyperlink>
      <w:r w:rsidR="006A60CF">
        <w:t xml:space="preserve">. Thus, targeted policies that address both economic and cultural barriers are essential to achieving sustainable fertility reductions and broader developmental outcomes </w:t>
      </w:r>
      <w:hyperlink w:anchor="no8" w:history="1">
        <w:r w:rsidR="00174047" w:rsidRPr="007C37AF">
          <w:rPr>
            <w:rStyle w:val="Hyperlink"/>
          </w:rPr>
          <w:t>[8]</w:t>
        </w:r>
      </w:hyperlink>
      <w:hyperlink w:anchor="no15" w:history="1">
        <w:r w:rsidR="00174047" w:rsidRPr="00174047">
          <w:rPr>
            <w:rStyle w:val="Hyperlink"/>
          </w:rPr>
          <w:t>[15]</w:t>
        </w:r>
      </w:hyperlink>
      <w:r w:rsidR="006A60CF">
        <w:t>.</w:t>
      </w:r>
    </w:p>
    <w:p w14:paraId="79AE90C4" w14:textId="77777777" w:rsidR="008842AA" w:rsidRPr="005E7ED4" w:rsidRDefault="00CF3F26" w:rsidP="00DD0B52">
      <w:pPr>
        <w:rPr>
          <w:b/>
          <w:bCs/>
        </w:rPr>
      </w:pPr>
      <w:r w:rsidRPr="007D5E4A">
        <w:rPr>
          <w:b/>
          <w:bCs/>
        </w:rPr>
        <w:t xml:space="preserve">3 </w:t>
      </w:r>
      <w:r w:rsidR="00DF47AB">
        <w:rPr>
          <w:b/>
          <w:bCs/>
        </w:rPr>
        <w:t>Objective</w:t>
      </w:r>
    </w:p>
    <w:p w14:paraId="38F49601" w14:textId="77777777" w:rsidR="00B84A43" w:rsidRPr="00B84A43" w:rsidRDefault="00B84A43" w:rsidP="00B84A43">
      <w:pPr>
        <w:spacing w:before="100" w:beforeAutospacing="1" w:after="100" w:afterAutospacing="1"/>
        <w:rPr>
          <w:lang w:eastAsia="en-IN"/>
        </w:rPr>
      </w:pPr>
      <w:r w:rsidRPr="00B84A43">
        <w:rPr>
          <w:lang w:eastAsia="en-IN"/>
        </w:rPr>
        <w:t>The objective of this research is to analyze the influence of demographic and economic indicators on fertility rates, exploring the complex interactions between these variables and their implications for global economic development. Specifically, this study aims to:</w:t>
      </w:r>
    </w:p>
    <w:p w14:paraId="1A2B864C" w14:textId="77777777" w:rsidR="00B84A43" w:rsidRPr="00B84A43" w:rsidRDefault="00B84A43" w:rsidP="00B84A43">
      <w:pPr>
        <w:numPr>
          <w:ilvl w:val="0"/>
          <w:numId w:val="29"/>
        </w:numPr>
        <w:spacing w:before="100" w:beforeAutospacing="1" w:after="100" w:afterAutospacing="1"/>
        <w:rPr>
          <w:lang w:eastAsia="en-IN"/>
        </w:rPr>
      </w:pPr>
      <w:r w:rsidRPr="00B84A43">
        <w:rPr>
          <w:lang w:eastAsia="en-IN"/>
        </w:rPr>
        <w:t xml:space="preserve">Identify key determinants of fertility rates, such as life expectancy, income levels, population growth, urbanization, and mean age at childbearing, and examine their individual and combined impacts on fertility trends across different regions and income levels </w:t>
      </w:r>
      <w:hyperlink w:anchor="UN" w:history="1">
        <w:r w:rsidR="007C37AF" w:rsidRPr="00D330B9">
          <w:rPr>
            <w:rStyle w:val="Hyperlink"/>
          </w:rPr>
          <w:t>[1]</w:t>
        </w:r>
      </w:hyperlink>
      <w:hyperlink w:anchor="no2" w:history="1">
        <w:r w:rsidR="00174047" w:rsidRPr="007C37AF">
          <w:rPr>
            <w:rStyle w:val="Hyperlink"/>
          </w:rPr>
          <w:t>[2]</w:t>
        </w:r>
      </w:hyperlink>
      <w:hyperlink w:anchor="no10" w:history="1">
        <w:r w:rsidR="00174047" w:rsidRPr="00174047">
          <w:rPr>
            <w:rStyle w:val="Hyperlink"/>
          </w:rPr>
          <w:t>[10]</w:t>
        </w:r>
      </w:hyperlink>
      <w:r w:rsidRPr="00B84A43">
        <w:rPr>
          <w:lang w:eastAsia="en-IN"/>
        </w:rPr>
        <w:t>.</w:t>
      </w:r>
    </w:p>
    <w:p w14:paraId="12CBD499" w14:textId="77777777" w:rsidR="00B84A43" w:rsidRPr="00B84A43" w:rsidRDefault="00B84A43" w:rsidP="00B84A43">
      <w:pPr>
        <w:numPr>
          <w:ilvl w:val="0"/>
          <w:numId w:val="29"/>
        </w:numPr>
        <w:spacing w:before="100" w:beforeAutospacing="1" w:after="100" w:afterAutospacing="1"/>
        <w:rPr>
          <w:lang w:eastAsia="en-IN"/>
        </w:rPr>
      </w:pPr>
      <w:r w:rsidRPr="00B84A43">
        <w:rPr>
          <w:lang w:eastAsia="en-IN"/>
        </w:rPr>
        <w:t xml:space="preserve">Assess how variations in fertility rates influence economic growth and development by investigating the demographic and socioeconomic conditions that drive fertility changes globally </w:t>
      </w:r>
      <w:hyperlink w:anchor="no3" w:history="1">
        <w:r w:rsidR="007C37AF" w:rsidRPr="007C37AF">
          <w:rPr>
            <w:rStyle w:val="Hyperlink"/>
          </w:rPr>
          <w:t>[3]</w:t>
        </w:r>
      </w:hyperlink>
      <w:hyperlink w:anchor="no5" w:history="1">
        <w:r w:rsidR="00174047" w:rsidRPr="00174047">
          <w:rPr>
            <w:rStyle w:val="Hyperlink"/>
          </w:rPr>
          <w:t>[5]</w:t>
        </w:r>
      </w:hyperlink>
      <w:hyperlink w:anchor="no13" w:history="1">
        <w:r w:rsidR="00174047" w:rsidRPr="00174047">
          <w:rPr>
            <w:rStyle w:val="Hyperlink"/>
          </w:rPr>
          <w:t>[13]</w:t>
        </w:r>
      </w:hyperlink>
      <w:r w:rsidRPr="00B84A43">
        <w:rPr>
          <w:lang w:eastAsia="en-IN"/>
        </w:rPr>
        <w:t>.</w:t>
      </w:r>
    </w:p>
    <w:p w14:paraId="30A7B3E5" w14:textId="77777777" w:rsidR="00B84A43" w:rsidRPr="00B84A43" w:rsidRDefault="00B84A43" w:rsidP="00B84A43">
      <w:pPr>
        <w:numPr>
          <w:ilvl w:val="0"/>
          <w:numId w:val="29"/>
        </w:numPr>
        <w:spacing w:before="100" w:beforeAutospacing="1" w:after="100" w:afterAutospacing="1"/>
        <w:rPr>
          <w:lang w:eastAsia="en-IN"/>
        </w:rPr>
      </w:pPr>
      <w:r w:rsidRPr="00B84A43">
        <w:rPr>
          <w:lang w:eastAsia="en-IN"/>
        </w:rPr>
        <w:t xml:space="preserve">Provide actionable insights for policymakers by highlighting the demographic and economic factors that can be targeted through policy interventions to achieve sustainable fertility transitions, especially in high-fertility regions, thereby promoting broader socioeconomic stability and development </w:t>
      </w:r>
      <w:hyperlink w:anchor="no4" w:history="1">
        <w:r w:rsidR="007C37AF" w:rsidRPr="007C37AF">
          <w:rPr>
            <w:rStyle w:val="Hyperlink"/>
          </w:rPr>
          <w:t>[4]</w:t>
        </w:r>
      </w:hyperlink>
      <w:hyperlink w:anchor="no6" w:history="1">
        <w:r w:rsidR="00174047" w:rsidRPr="00174047">
          <w:rPr>
            <w:rStyle w:val="Hyperlink"/>
          </w:rPr>
          <w:t>[6]</w:t>
        </w:r>
      </w:hyperlink>
      <w:hyperlink w:anchor="no15" w:history="1">
        <w:r w:rsidR="00174047" w:rsidRPr="00174047">
          <w:rPr>
            <w:rStyle w:val="Hyperlink"/>
          </w:rPr>
          <w:t>[15]</w:t>
        </w:r>
      </w:hyperlink>
      <w:r w:rsidRPr="00B84A43">
        <w:rPr>
          <w:lang w:eastAsia="en-IN"/>
        </w:rPr>
        <w:t>.</w:t>
      </w:r>
    </w:p>
    <w:p w14:paraId="2CAD2884" w14:textId="77777777" w:rsidR="00B84A43" w:rsidRPr="00B84A43" w:rsidRDefault="00B84A43" w:rsidP="00B84A43">
      <w:pPr>
        <w:spacing w:before="100" w:beforeAutospacing="1" w:after="100" w:afterAutospacing="1"/>
        <w:rPr>
          <w:lang w:eastAsia="en-IN"/>
        </w:rPr>
      </w:pPr>
      <w:r w:rsidRPr="00B84A43">
        <w:rPr>
          <w:lang w:eastAsia="en-IN"/>
        </w:rPr>
        <w:t>Through a robust methodological framework that includes panel data analysis, Principal Component Analysis (PCA), and Random Forest regression, this study aims to offer a comprehensive understanding of the role demographic shifts and economic indicators play in shaping fertility rates and economic outcomes across diverse economic and cultural contexts.</w:t>
      </w:r>
    </w:p>
    <w:p w14:paraId="09F81F02" w14:textId="77777777" w:rsidR="008842AA" w:rsidRDefault="008842AA" w:rsidP="00DD0B52">
      <w:pPr>
        <w:spacing w:before="100" w:beforeAutospacing="1" w:after="100" w:afterAutospacing="1"/>
        <w:rPr>
          <w:b/>
          <w:bCs/>
          <w:lang w:eastAsia="en-IN"/>
        </w:rPr>
      </w:pPr>
      <w:r>
        <w:rPr>
          <w:b/>
          <w:bCs/>
          <w:lang w:eastAsia="en-IN"/>
        </w:rPr>
        <w:lastRenderedPageBreak/>
        <w:t>4</w:t>
      </w:r>
      <w:r w:rsidR="006A0D38">
        <w:rPr>
          <w:b/>
          <w:bCs/>
          <w:lang w:eastAsia="en-IN"/>
        </w:rPr>
        <w:t xml:space="preserve"> </w:t>
      </w:r>
      <w:r>
        <w:rPr>
          <w:b/>
          <w:bCs/>
          <w:lang w:eastAsia="en-IN"/>
        </w:rPr>
        <w:t>Variable Selection</w:t>
      </w:r>
      <w:r w:rsidR="006A0D38">
        <w:rPr>
          <w:b/>
          <w:bCs/>
          <w:lang w:eastAsia="en-IN"/>
        </w:rPr>
        <w:t xml:space="preserve"> and Data Sources</w:t>
      </w:r>
    </w:p>
    <w:p w14:paraId="0ECA350B" w14:textId="77777777" w:rsidR="00FA3BC8" w:rsidRPr="00FA3BC8" w:rsidRDefault="00FA3BC8" w:rsidP="00FA3BC8">
      <w:r w:rsidRPr="00FA3BC8">
        <w:t xml:space="preserve">This study employs a comprehensive dataset that includes both dependent and independent variables selected to capture the multifaceted relationship between demographic shifts, economic indicators, and fertility rates. The dependent variable in this analysis is the Total Fertility Rate (TFR), which measures the average number of children a woman is expected to have in her lifetime </w:t>
      </w:r>
      <w:hyperlink w:anchor="UN" w:history="1">
        <w:r w:rsidR="007C37AF" w:rsidRPr="00D330B9">
          <w:rPr>
            <w:rStyle w:val="Hyperlink"/>
          </w:rPr>
          <w:t>[1]</w:t>
        </w:r>
      </w:hyperlink>
      <w:hyperlink w:anchor="no8" w:history="1">
        <w:r w:rsidR="00174047" w:rsidRPr="007C37AF">
          <w:rPr>
            <w:rStyle w:val="Hyperlink"/>
          </w:rPr>
          <w:t>[8]</w:t>
        </w:r>
      </w:hyperlink>
      <w:r w:rsidRPr="00FA3BC8">
        <w:t xml:space="preserve">. TFR serves as a critical indicator of reproductive behavior and is directly influenced by demographic and socioeconomic factors, making it a relevant measure for examining the link between fertility and economic development </w:t>
      </w:r>
      <w:hyperlink w:anchor="no5" w:history="1">
        <w:r w:rsidR="00174047" w:rsidRPr="00174047">
          <w:rPr>
            <w:rStyle w:val="Hyperlink"/>
          </w:rPr>
          <w:t>[5]</w:t>
        </w:r>
      </w:hyperlink>
      <w:hyperlink w:anchor="no11" w:history="1">
        <w:r w:rsidRPr="00FA3BC8">
          <w:rPr>
            <w:rStyle w:val="Hyperlink"/>
          </w:rPr>
          <w:t>[11]</w:t>
        </w:r>
      </w:hyperlink>
      <w:r w:rsidRPr="00FA3BC8">
        <w:t>.</w:t>
      </w:r>
    </w:p>
    <w:p w14:paraId="7E61AC00" w14:textId="77777777" w:rsidR="00FA3BC8" w:rsidRPr="00FA3BC8" w:rsidRDefault="00FA3BC8" w:rsidP="00FA3BC8">
      <w:r w:rsidRPr="00FA3BC8">
        <w:t>The primary independent variables used in this study include life expectancy, population growth rate, income levels, urbanization rate, and mean age at childbearing. These indicators provide a nuanced view of the conditions influencing fertility:</w:t>
      </w:r>
    </w:p>
    <w:p w14:paraId="0410875F" w14:textId="77777777" w:rsidR="00FA3BC8" w:rsidRPr="00FA3BC8" w:rsidRDefault="00FA3BC8" w:rsidP="00FA3BC8">
      <w:pPr>
        <w:numPr>
          <w:ilvl w:val="0"/>
          <w:numId w:val="30"/>
        </w:numPr>
      </w:pPr>
      <w:r w:rsidRPr="00FA3BC8">
        <w:rPr>
          <w:b/>
          <w:bCs/>
        </w:rPr>
        <w:t>Life Expectancy</w:t>
      </w:r>
      <w:r w:rsidRPr="00FA3BC8">
        <w:t xml:space="preserve">: This variable, measured in years, captures the health and longevity of a population. Higher life expectancy often correlates with improved healthcare systems and living conditions, which typically lead to lower fertility rates. This variable allows the study to analyze how health improvements impact reproductive behavior across regions </w:t>
      </w:r>
      <w:hyperlink w:anchor="no2" w:history="1">
        <w:r w:rsidR="007C37AF" w:rsidRPr="007C37AF">
          <w:rPr>
            <w:rStyle w:val="Hyperlink"/>
          </w:rPr>
          <w:t>[2]</w:t>
        </w:r>
      </w:hyperlink>
      <w:hyperlink w:anchor="no3" w:history="1">
        <w:r w:rsidR="007C37AF" w:rsidRPr="007C37AF">
          <w:rPr>
            <w:rStyle w:val="Hyperlink"/>
          </w:rPr>
          <w:t>[3]</w:t>
        </w:r>
      </w:hyperlink>
      <w:hyperlink w:anchor="no9" w:history="1">
        <w:r w:rsidRPr="00FA3BC8">
          <w:rPr>
            <w:rStyle w:val="Hyperlink"/>
          </w:rPr>
          <w:t>[9]</w:t>
        </w:r>
      </w:hyperlink>
      <w:r w:rsidRPr="00FA3BC8">
        <w:t>.</w:t>
      </w:r>
    </w:p>
    <w:p w14:paraId="0925F54C" w14:textId="77777777" w:rsidR="00FA3BC8" w:rsidRPr="00FA3BC8" w:rsidRDefault="00FA3BC8" w:rsidP="00FA3BC8">
      <w:pPr>
        <w:numPr>
          <w:ilvl w:val="0"/>
          <w:numId w:val="30"/>
        </w:numPr>
      </w:pPr>
      <w:r w:rsidRPr="00FA3BC8">
        <w:rPr>
          <w:b/>
          <w:bCs/>
        </w:rPr>
        <w:t>Population Growth Rate</w:t>
      </w:r>
      <w:r w:rsidRPr="00FA3BC8">
        <w:t xml:space="preserve">: The population growth rate represents the annual increase or decrease in population size, capturing demographic pressures that may influence family size and fertility decisions. High population growth rates can be associated with high fertility, especially in low-income regions, and are critical to understanding demographic momentum </w:t>
      </w:r>
      <w:hyperlink w:anchor="no4" w:history="1">
        <w:r w:rsidR="007C37AF" w:rsidRPr="007C37AF">
          <w:rPr>
            <w:rStyle w:val="Hyperlink"/>
          </w:rPr>
          <w:t>[4]</w:t>
        </w:r>
      </w:hyperlink>
      <w:hyperlink w:anchor="no15" w:history="1">
        <w:r w:rsidR="00174047" w:rsidRPr="00174047">
          <w:rPr>
            <w:rStyle w:val="Hyperlink"/>
          </w:rPr>
          <w:t>[15]</w:t>
        </w:r>
      </w:hyperlink>
      <w:r w:rsidRPr="00FA3BC8">
        <w:t>.</w:t>
      </w:r>
    </w:p>
    <w:p w14:paraId="1040176A" w14:textId="77777777" w:rsidR="00FA3BC8" w:rsidRPr="00FA3BC8" w:rsidRDefault="00FA3BC8" w:rsidP="00FA3BC8">
      <w:pPr>
        <w:numPr>
          <w:ilvl w:val="0"/>
          <w:numId w:val="30"/>
        </w:numPr>
      </w:pPr>
      <w:r w:rsidRPr="00FA3BC8">
        <w:rPr>
          <w:b/>
          <w:bCs/>
        </w:rPr>
        <w:t>Income Levels</w:t>
      </w:r>
      <w:r w:rsidRPr="00FA3BC8">
        <w:t xml:space="preserve">: Represented by GDP per capita or similar economic measures, income levels are essential in understanding fertility behavior. Higher income often translates into increased access to education, healthcare, and family planning resources, which can contribute to fertility decline. This variable enables an exploration of the economic context underlying reproductive choices </w:t>
      </w:r>
      <w:hyperlink w:anchor="no5" w:history="1">
        <w:r w:rsidR="00174047" w:rsidRPr="00174047">
          <w:rPr>
            <w:rStyle w:val="Hyperlink"/>
          </w:rPr>
          <w:t>[5]</w:t>
        </w:r>
      </w:hyperlink>
      <w:hyperlink w:anchor="no6" w:history="1">
        <w:r w:rsidR="00174047" w:rsidRPr="00174047">
          <w:rPr>
            <w:rStyle w:val="Hyperlink"/>
          </w:rPr>
          <w:t>[6]</w:t>
        </w:r>
      </w:hyperlink>
      <w:hyperlink w:anchor="no13" w:history="1">
        <w:r w:rsidR="00174047" w:rsidRPr="00174047">
          <w:rPr>
            <w:rStyle w:val="Hyperlink"/>
          </w:rPr>
          <w:t>[13]</w:t>
        </w:r>
      </w:hyperlink>
      <w:r w:rsidRPr="00FA3BC8">
        <w:t>.</w:t>
      </w:r>
    </w:p>
    <w:p w14:paraId="05CEF6D5" w14:textId="77777777" w:rsidR="00FA3BC8" w:rsidRPr="00FA3BC8" w:rsidRDefault="00FA3BC8" w:rsidP="00FA3BC8">
      <w:pPr>
        <w:numPr>
          <w:ilvl w:val="0"/>
          <w:numId w:val="30"/>
        </w:numPr>
      </w:pPr>
      <w:r w:rsidRPr="00FA3BC8">
        <w:rPr>
          <w:b/>
          <w:bCs/>
        </w:rPr>
        <w:t>Urbanization Rate</w:t>
      </w:r>
      <w:r w:rsidRPr="00FA3BC8">
        <w:t xml:space="preserve">: This variable captures the proportion of the population living in urban areas. Urbanization is associated with greater access to services, including healthcare, education, and employment, and generally correlates with lower fertility rates due to the shift in lifestyle and family planning preferences that often accompanies urban living </w:t>
      </w:r>
      <w:hyperlink w:anchor="UN" w:history="1">
        <w:r w:rsidR="007C37AF" w:rsidRPr="00D330B9">
          <w:rPr>
            <w:rStyle w:val="Hyperlink"/>
          </w:rPr>
          <w:t>[1]</w:t>
        </w:r>
      </w:hyperlink>
      <w:hyperlink w:anchor="no3" w:history="1">
        <w:r w:rsidR="007C37AF" w:rsidRPr="007C37AF">
          <w:rPr>
            <w:rStyle w:val="Hyperlink"/>
          </w:rPr>
          <w:t>[3]</w:t>
        </w:r>
      </w:hyperlink>
      <w:hyperlink w:anchor="no14" w:history="1">
        <w:r w:rsidR="00174047" w:rsidRPr="00174047">
          <w:rPr>
            <w:rStyle w:val="Hyperlink"/>
          </w:rPr>
          <w:t>[14]</w:t>
        </w:r>
      </w:hyperlink>
      <w:r w:rsidRPr="00FA3BC8">
        <w:t>.</w:t>
      </w:r>
    </w:p>
    <w:p w14:paraId="6FDFFB21" w14:textId="77777777" w:rsidR="00FA3BC8" w:rsidRPr="00FA3BC8" w:rsidRDefault="00FA3BC8" w:rsidP="00FA3BC8">
      <w:pPr>
        <w:numPr>
          <w:ilvl w:val="0"/>
          <w:numId w:val="30"/>
        </w:numPr>
      </w:pPr>
      <w:r w:rsidRPr="00FA3BC8">
        <w:rPr>
          <w:b/>
          <w:bCs/>
        </w:rPr>
        <w:t>Mean Age at Childbearing</w:t>
      </w:r>
      <w:r w:rsidRPr="00FA3BC8">
        <w:t xml:space="preserve">: This demographic indicator represents the average age of women at the birth of their children, reflecting societal norms around childbearing. Delayed childbearing is typically associated with higher educational attainment and career prioritization, which often lead to lower fertility rates </w:t>
      </w:r>
      <w:hyperlink w:anchor="no6" w:history="1">
        <w:r w:rsidR="00174047" w:rsidRPr="00174047">
          <w:rPr>
            <w:rStyle w:val="Hyperlink"/>
          </w:rPr>
          <w:t>[6]</w:t>
        </w:r>
      </w:hyperlink>
      <w:hyperlink w:anchor="no10" w:history="1">
        <w:r w:rsidR="00174047" w:rsidRPr="00174047">
          <w:rPr>
            <w:rStyle w:val="Hyperlink"/>
          </w:rPr>
          <w:t>[10]</w:t>
        </w:r>
      </w:hyperlink>
      <w:r w:rsidRPr="00FA3BC8">
        <w:t>.</w:t>
      </w:r>
    </w:p>
    <w:p w14:paraId="7EB21234" w14:textId="77777777" w:rsidR="00FA3BC8" w:rsidRPr="00FA3BC8" w:rsidRDefault="00FA3BC8" w:rsidP="00FA3BC8">
      <w:r w:rsidRPr="00FA3BC8">
        <w:t xml:space="preserve">In addition to these core variables, the study incorporates governance indicators—such as political stability and regulatory quality—through Principal Component Analysis (PCA) to provide a consolidated measure of governance quality. This allows the study to account for the role of governance in shaping socioeconomic conditions and influencing fertility trends </w:t>
      </w:r>
      <w:hyperlink w:anchor="no7" w:history="1">
        <w:r w:rsidR="00174047" w:rsidRPr="00174047">
          <w:rPr>
            <w:rStyle w:val="Hyperlink"/>
          </w:rPr>
          <w:t>[7]</w:t>
        </w:r>
      </w:hyperlink>
      <w:hyperlink w:anchor="no12" w:history="1">
        <w:r w:rsidR="00174047" w:rsidRPr="00174047">
          <w:rPr>
            <w:rStyle w:val="Hyperlink"/>
          </w:rPr>
          <w:t>[12]</w:t>
        </w:r>
      </w:hyperlink>
      <w:r w:rsidRPr="00FA3BC8">
        <w:t>.</w:t>
      </w:r>
    </w:p>
    <w:p w14:paraId="1071406A" w14:textId="77777777" w:rsidR="008842AA" w:rsidRPr="004F3252" w:rsidRDefault="008842AA" w:rsidP="00DD0B52"/>
    <w:p w14:paraId="63C0EF28" w14:textId="77777777" w:rsidR="008842AA" w:rsidRPr="004F3252" w:rsidRDefault="008842AA" w:rsidP="00DD0B52">
      <w:r w:rsidRPr="004F3252">
        <w:rPr>
          <w:b/>
          <w:bCs/>
        </w:rPr>
        <w:t>Country Selection</w:t>
      </w:r>
    </w:p>
    <w:p w14:paraId="7BA3CAC3" w14:textId="77777777" w:rsidR="008B2A87" w:rsidRPr="008B2A87" w:rsidRDefault="008B2A87" w:rsidP="008B2A87">
      <w:r w:rsidRPr="008B2A87">
        <w:t xml:space="preserve">Countries were selected based on data availability and represent a range of income levels and regions, encompassing high-, middle-, and low-income economies. This selection approach ensures a comprehensive analysis that captures fertility patterns across diverse economic and cultural settings. By including both developed and developing countries, the study can examine how variations in income, education, and healthcare access impact fertility in different demographic contexts </w:t>
      </w:r>
      <w:hyperlink w:anchor="no3" w:history="1">
        <w:r w:rsidR="007C37AF" w:rsidRPr="007C37AF">
          <w:rPr>
            <w:rStyle w:val="Hyperlink"/>
          </w:rPr>
          <w:t>[3]</w:t>
        </w:r>
      </w:hyperlink>
      <w:hyperlink w:anchor="no4" w:history="1">
        <w:r w:rsidR="007C37AF" w:rsidRPr="007C37AF">
          <w:rPr>
            <w:rStyle w:val="Hyperlink"/>
          </w:rPr>
          <w:t>[4]</w:t>
        </w:r>
      </w:hyperlink>
      <w:hyperlink w:anchor="no15" w:history="1">
        <w:r w:rsidR="00174047" w:rsidRPr="00174047">
          <w:rPr>
            <w:rStyle w:val="Hyperlink"/>
          </w:rPr>
          <w:t>[15]</w:t>
        </w:r>
      </w:hyperlink>
      <w:r w:rsidRPr="008B2A87">
        <w:t xml:space="preserve">. This cross-country perspective also allows for an </w:t>
      </w:r>
      <w:r w:rsidRPr="008B2A87">
        <w:lastRenderedPageBreak/>
        <w:t xml:space="preserve">understanding of both within- and between-country variations in fertility trends, enhancing the robustness of the analysis </w:t>
      </w:r>
      <w:hyperlink w:anchor="no2" w:history="1">
        <w:r w:rsidR="007C37AF" w:rsidRPr="007C37AF">
          <w:rPr>
            <w:rStyle w:val="Hyperlink"/>
          </w:rPr>
          <w:t>[2]</w:t>
        </w:r>
      </w:hyperlink>
      <w:hyperlink w:anchor="no11" w:history="1">
        <w:r w:rsidR="00174047" w:rsidRPr="00FA3BC8">
          <w:rPr>
            <w:rStyle w:val="Hyperlink"/>
          </w:rPr>
          <w:t>[11]</w:t>
        </w:r>
      </w:hyperlink>
      <w:r w:rsidRPr="008B2A87">
        <w:t>.</w:t>
      </w:r>
    </w:p>
    <w:p w14:paraId="55A696FF" w14:textId="77777777" w:rsidR="008B2A87" w:rsidRPr="008B2A87" w:rsidRDefault="008B2A87" w:rsidP="008B2A87">
      <w:r w:rsidRPr="008B2A87">
        <w:rPr>
          <w:b/>
          <w:bCs/>
        </w:rPr>
        <w:t>Data Source</w:t>
      </w:r>
    </w:p>
    <w:p w14:paraId="72FB8DB9" w14:textId="77777777" w:rsidR="008B2A87" w:rsidRPr="008B2A87" w:rsidRDefault="008B2A87" w:rsidP="008B2A87">
      <w:pPr>
        <w:numPr>
          <w:ilvl w:val="0"/>
          <w:numId w:val="31"/>
        </w:numPr>
      </w:pPr>
      <w:r w:rsidRPr="008B2A87">
        <w:rPr>
          <w:b/>
          <w:bCs/>
        </w:rPr>
        <w:t>World Bank and WHO Data</w:t>
      </w:r>
      <w:r w:rsidRPr="008B2A87">
        <w:t xml:space="preserve">: The paper references data from the World Bank and WHO for economic and demographic indicators </w:t>
      </w:r>
      <w:hyperlink w:anchor="UN" w:history="1">
        <w:r w:rsidR="007C37AF" w:rsidRPr="00D330B9">
          <w:rPr>
            <w:rStyle w:val="Hyperlink"/>
          </w:rPr>
          <w:t>[1]</w:t>
        </w:r>
      </w:hyperlink>
      <w:r w:rsidRPr="008B2A87">
        <w:t>.</w:t>
      </w:r>
    </w:p>
    <w:p w14:paraId="3778F149" w14:textId="77777777" w:rsidR="008B2A87" w:rsidRPr="008B2A87" w:rsidRDefault="008B2A87" w:rsidP="008B2A87">
      <w:pPr>
        <w:numPr>
          <w:ilvl w:val="0"/>
          <w:numId w:val="31"/>
        </w:numPr>
      </w:pPr>
      <w:r w:rsidRPr="008B2A87">
        <w:rPr>
          <w:b/>
          <w:bCs/>
        </w:rPr>
        <w:t>Total Fertility Rate (TFR) and Population Indicators</w:t>
      </w:r>
      <w:r w:rsidRPr="008B2A87">
        <w:t xml:space="preserve">: Data from the United Nations (2015) World Fertility Patterns provides demographic data such as fertility and population growth rates </w:t>
      </w:r>
      <w:hyperlink w:anchor="no2" w:history="1">
        <w:r w:rsidR="007C37AF" w:rsidRPr="007C37AF">
          <w:rPr>
            <w:rStyle w:val="Hyperlink"/>
          </w:rPr>
          <w:t>[2]</w:t>
        </w:r>
      </w:hyperlink>
      <w:r w:rsidRPr="008B2A87">
        <w:t>.</w:t>
      </w:r>
    </w:p>
    <w:p w14:paraId="35CD59C2" w14:textId="77777777" w:rsidR="008B2A87" w:rsidRPr="008B2A87" w:rsidRDefault="008B2A87" w:rsidP="008B2A87">
      <w:pPr>
        <w:numPr>
          <w:ilvl w:val="0"/>
          <w:numId w:val="31"/>
        </w:numPr>
      </w:pPr>
      <w:r w:rsidRPr="008B2A87">
        <w:rPr>
          <w:b/>
          <w:bCs/>
        </w:rPr>
        <w:t>Income Group Classification</w:t>
      </w:r>
      <w:r w:rsidRPr="008B2A87">
        <w:t xml:space="preserve">: Economic indicators from the World Bank, focusing on GDP, Human Development Index (HDI), and income levels </w:t>
      </w:r>
      <w:hyperlink w:anchor="no5" w:history="1">
        <w:r w:rsidR="00174047" w:rsidRPr="00174047">
          <w:rPr>
            <w:rStyle w:val="Hyperlink"/>
          </w:rPr>
          <w:t>[5]</w:t>
        </w:r>
      </w:hyperlink>
      <w:r w:rsidRPr="008B2A87">
        <w:t>.</w:t>
      </w:r>
    </w:p>
    <w:p w14:paraId="21F931F5" w14:textId="77777777" w:rsidR="008B2A87" w:rsidRPr="008B2A87" w:rsidRDefault="008B2A87" w:rsidP="008B2A87">
      <w:pPr>
        <w:numPr>
          <w:ilvl w:val="0"/>
          <w:numId w:val="31"/>
        </w:numPr>
      </w:pPr>
      <w:r w:rsidRPr="008B2A87">
        <w:rPr>
          <w:b/>
          <w:bCs/>
        </w:rPr>
        <w:t>Mean Age at Childbearing (MAC)</w:t>
      </w:r>
      <w:r w:rsidRPr="008B2A87">
        <w:t xml:space="preserve">: Indicators related to fertility timing and socioeconomic conditions affecting childbearing age </w:t>
      </w:r>
      <w:hyperlink w:anchor="no6" w:history="1">
        <w:r w:rsidR="00174047" w:rsidRPr="00174047">
          <w:rPr>
            <w:rStyle w:val="Hyperlink"/>
          </w:rPr>
          <w:t>[6]</w:t>
        </w:r>
      </w:hyperlink>
      <w:r w:rsidRPr="008B2A87">
        <w:t>.</w:t>
      </w:r>
    </w:p>
    <w:p w14:paraId="6FFE4C9B" w14:textId="77777777" w:rsidR="008B2A87" w:rsidRPr="008B2A87" w:rsidRDefault="008B2A87" w:rsidP="008B2A87">
      <w:pPr>
        <w:numPr>
          <w:ilvl w:val="0"/>
          <w:numId w:val="31"/>
        </w:numPr>
      </w:pPr>
      <w:r w:rsidRPr="008B2A87">
        <w:rPr>
          <w:b/>
          <w:bCs/>
        </w:rPr>
        <w:t>Fertility Rate (FR2)</w:t>
      </w:r>
      <w:r w:rsidRPr="008B2A87">
        <w:t xml:space="preserve">: Data from the Population and Development Review and other research </w:t>
      </w:r>
      <w:hyperlink w:anchor="no3" w:history="1">
        <w:r w:rsidR="007C37AF" w:rsidRPr="007C37AF">
          <w:rPr>
            <w:rStyle w:val="Hyperlink"/>
          </w:rPr>
          <w:t>[3]</w:t>
        </w:r>
      </w:hyperlink>
      <w:r w:rsidRPr="008B2A87">
        <w:t>.</w:t>
      </w:r>
    </w:p>
    <w:p w14:paraId="09CDD6E4" w14:textId="77777777" w:rsidR="008B2A87" w:rsidRPr="008B2A87" w:rsidRDefault="008B2A87" w:rsidP="008B2A87">
      <w:pPr>
        <w:numPr>
          <w:ilvl w:val="0"/>
          <w:numId w:val="31"/>
        </w:numPr>
      </w:pPr>
      <w:r w:rsidRPr="008B2A87">
        <w:rPr>
          <w:b/>
          <w:bCs/>
        </w:rPr>
        <w:t>Births per 1,000 People</w:t>
      </w:r>
      <w:r w:rsidRPr="008B2A87">
        <w:t xml:space="preserve">: Data related to fertility rates, specifically birth rates per 1,000 people, as indicated by general demographic statistics from sources like the United Nations and World Bank </w:t>
      </w:r>
      <w:hyperlink w:anchor="no2" w:history="1">
        <w:r w:rsidR="007C37AF" w:rsidRPr="007C37AF">
          <w:rPr>
            <w:rStyle w:val="Hyperlink"/>
          </w:rPr>
          <w:t>[2]</w:t>
        </w:r>
      </w:hyperlink>
      <w:hyperlink w:anchor="UN" w:history="1">
        <w:r w:rsidR="007C37AF" w:rsidRPr="00D330B9">
          <w:rPr>
            <w:rStyle w:val="Hyperlink"/>
          </w:rPr>
          <w:t>[1]</w:t>
        </w:r>
      </w:hyperlink>
      <w:r w:rsidRPr="008B2A87">
        <w:t>.</w:t>
      </w:r>
    </w:p>
    <w:p w14:paraId="38B9909E" w14:textId="77777777" w:rsidR="00CB2EB7" w:rsidRDefault="00CB2EB7" w:rsidP="00DD0B52">
      <w:pPr>
        <w:rPr>
          <w:b/>
          <w:bCs/>
        </w:rPr>
      </w:pPr>
    </w:p>
    <w:p w14:paraId="41EDC22F" w14:textId="77777777" w:rsidR="008842AA" w:rsidRDefault="008842AA" w:rsidP="00DD0B52">
      <w:pPr>
        <w:rPr>
          <w:b/>
          <w:bCs/>
        </w:rPr>
      </w:pPr>
      <w:r>
        <w:rPr>
          <w:b/>
          <w:bCs/>
        </w:rPr>
        <w:t xml:space="preserve">5 Methodology </w:t>
      </w:r>
    </w:p>
    <w:p w14:paraId="593F552C" w14:textId="77777777" w:rsidR="00991955" w:rsidRPr="00991955" w:rsidRDefault="00991955" w:rsidP="00991955">
      <w:r w:rsidRPr="00991955">
        <w:rPr>
          <w:b/>
          <w:bCs/>
        </w:rPr>
        <w:t> </w:t>
      </w:r>
    </w:p>
    <w:p w14:paraId="6DB3597D" w14:textId="77777777" w:rsidR="00991955" w:rsidRPr="00991955" w:rsidRDefault="00991955" w:rsidP="00DD0B52">
      <w:r w:rsidRPr="00991955">
        <w:t>This analysis explores how demographic and economic factors impact fertility rates across countries, employing a combination of panel data models, Principal Component Analysis (PCA), and Random Forest Regression. Panel data analysis controls for country-specific factors and enhances robustness by reducing collinearity and increasing observations. PCA consolidates governance indicators, highlighting key demographic trends, while Random Forest Regression assesses the importance of various indicators, revealing significant contributors to fertility changes. Together, these methods offer a detailed, multidimensional view of fertility trends worldwide.</w:t>
      </w:r>
    </w:p>
    <w:p w14:paraId="147D0ED1" w14:textId="77777777" w:rsidR="008842AA" w:rsidRPr="007D5E4A" w:rsidRDefault="008842AA" w:rsidP="00DD0B52">
      <w:pPr>
        <w:rPr>
          <w:b/>
          <w:bCs/>
        </w:rPr>
      </w:pPr>
    </w:p>
    <w:p w14:paraId="1CAE2BE3" w14:textId="77777777" w:rsidR="00CF3F26" w:rsidRPr="007D5E4A" w:rsidRDefault="008842AA" w:rsidP="00DD0B52">
      <w:pPr>
        <w:rPr>
          <w:b/>
          <w:bCs/>
        </w:rPr>
      </w:pPr>
      <w:r>
        <w:rPr>
          <w:b/>
          <w:bCs/>
        </w:rPr>
        <w:t>5</w:t>
      </w:r>
      <w:r w:rsidR="00CF3F26" w:rsidRPr="007D5E4A">
        <w:rPr>
          <w:b/>
          <w:bCs/>
        </w:rPr>
        <w:t>.1. Panel Data Analysis</w:t>
      </w:r>
    </w:p>
    <w:p w14:paraId="60D673A3" w14:textId="77777777" w:rsidR="00CB2EB7" w:rsidRPr="007D5E4A" w:rsidRDefault="00CB2EB7" w:rsidP="00DD0B52"/>
    <w:p w14:paraId="1E1F1BB1" w14:textId="77777777" w:rsidR="000D4CAB" w:rsidRPr="000D4CAB" w:rsidRDefault="000D4CAB" w:rsidP="00DD0B52">
      <w:r w:rsidRPr="000D4CAB">
        <w:t>Panel data analysis investigates the impact of demographic and economic indicators on fertility rates across countries. The Hausman Test determines whether fixed or random effects models are more appropriate for the analysis. The addition of random forest regression enhances the robustness of the results, providing a detailed view of variable importance.</w:t>
      </w:r>
    </w:p>
    <w:p w14:paraId="2A762939" w14:textId="77777777" w:rsidR="000D4CAB" w:rsidRPr="000D4CAB" w:rsidRDefault="000D4CAB" w:rsidP="00DD0B52">
      <w:r w:rsidRPr="000D4CAB">
        <w:t xml:space="preserve">The panel data model is employed in this study for several purposes: (i) to control for country-specific heterogeneity, (ii) to increase the number of observations and thus improve the robustness of the results, (iii) to reduce potential collinearity between the independent variables, and (iv) to allow for greater flexibility and effectiveness in model estimation. By providing greater sample variability and more degrees of freedom than cross-sectional data, panel data enhances the efficiency of econometric estimations </w:t>
      </w:r>
      <w:hyperlink w:anchor="no2" w:history="1">
        <w:hyperlink w:anchor="no2" w:history="1">
          <w:r w:rsidR="007C37AF" w:rsidRPr="007C37AF">
            <w:rPr>
              <w:rStyle w:val="Hyperlink"/>
            </w:rPr>
            <w:t>[2]</w:t>
          </w:r>
        </w:hyperlink>
      </w:hyperlink>
      <w:r w:rsidRPr="000D4CAB">
        <w:t>.</w:t>
      </w:r>
    </w:p>
    <w:p w14:paraId="121833F8" w14:textId="77777777" w:rsidR="00EE488F" w:rsidRPr="007D5E4A" w:rsidRDefault="00EE488F" w:rsidP="00DD0B52">
      <w:r w:rsidRPr="00EE488F">
        <w:t>The panel data model is specified as follows:</w:t>
      </w:r>
    </w:p>
    <w:p w14:paraId="458E76C7" w14:textId="77777777" w:rsidR="00014655" w:rsidRPr="00EE488F" w:rsidRDefault="00014655" w:rsidP="00DD0B52"/>
    <w:p w14:paraId="056F874A" w14:textId="77777777" w:rsidR="00EE488F" w:rsidRPr="007D5E4A" w:rsidRDefault="00EE488F" w:rsidP="00DD0B52">
      <w:pPr>
        <w:jc w:val="center"/>
        <w:rPr>
          <w:sz w:val="22"/>
          <w:szCs w:val="22"/>
        </w:rPr>
      </w:pPr>
      <w:r w:rsidRPr="007D5E4A">
        <w:rPr>
          <w:sz w:val="22"/>
          <w:szCs w:val="22"/>
        </w:rPr>
        <w:t xml:space="preserve">                                       </w:t>
      </w:r>
      <w:r w:rsidR="007D5E4A">
        <w:rPr>
          <w:sz w:val="22"/>
          <w:szCs w:val="22"/>
        </w:rPr>
        <w:t xml:space="preserve">        </w:t>
      </w:r>
      <w:r w:rsidRPr="007D5E4A">
        <w:rPr>
          <w:sz w:val="22"/>
          <w:szCs w:val="22"/>
        </w:rPr>
        <w:t xml:space="preserve"> </w:t>
      </w:r>
      <w:r w:rsidR="007D5E4A" w:rsidRPr="007D5E4A">
        <w:rPr>
          <w:sz w:val="22"/>
          <w:szCs w:val="22"/>
        </w:rPr>
        <w:t xml:space="preserve">     </w:t>
      </w:r>
      <w:r w:rsidRPr="007D5E4A">
        <w:rPr>
          <w:sz w:val="22"/>
          <w:szCs w:val="22"/>
        </w:rPr>
        <w:t>ln</w:t>
      </w:r>
      <w:r w:rsidRPr="007D5E4A">
        <w:rPr>
          <w:i/>
          <w:iCs/>
          <w:sz w:val="22"/>
          <w:szCs w:val="22"/>
        </w:rPr>
        <w:t>F</w:t>
      </w:r>
      <w:r w:rsidRPr="007D5E4A">
        <w:rPr>
          <w:sz w:val="22"/>
          <w:szCs w:val="22"/>
          <w:vertAlign w:val="subscript"/>
        </w:rPr>
        <w:t>it</w:t>
      </w:r>
      <w:r w:rsidRPr="007D5E4A">
        <w:rPr>
          <w:sz w:val="22"/>
          <w:szCs w:val="22"/>
        </w:rPr>
        <w:t>=α + X</w:t>
      </w:r>
      <w:r w:rsidRPr="007D5E4A">
        <w:rPr>
          <w:sz w:val="22"/>
          <w:szCs w:val="22"/>
          <w:vertAlign w:val="subscript"/>
        </w:rPr>
        <w:t>it</w:t>
      </w:r>
      <w:r w:rsidRPr="007D5E4A">
        <w:rPr>
          <w:sz w:val="22"/>
          <w:szCs w:val="22"/>
        </w:rPr>
        <w:t>β′ + μ</w:t>
      </w:r>
      <w:r w:rsidRPr="007D5E4A">
        <w:rPr>
          <w:sz w:val="22"/>
          <w:szCs w:val="22"/>
          <w:vertAlign w:val="subscript"/>
        </w:rPr>
        <w:t>i</w:t>
      </w:r>
      <w:r w:rsidRPr="007D5E4A">
        <w:rPr>
          <w:sz w:val="22"/>
          <w:szCs w:val="22"/>
        </w:rPr>
        <w:t xml:space="preserve"> + δ</w:t>
      </w:r>
      <w:r w:rsidRPr="007D5E4A">
        <w:rPr>
          <w:sz w:val="22"/>
          <w:szCs w:val="22"/>
          <w:vertAlign w:val="subscript"/>
        </w:rPr>
        <w:t>t</w:t>
      </w:r>
      <w:r w:rsidRPr="007D5E4A">
        <w:rPr>
          <w:sz w:val="22"/>
          <w:szCs w:val="22"/>
        </w:rPr>
        <w:t xml:space="preserve"> + ϵ</w:t>
      </w:r>
      <w:r w:rsidRPr="007D5E4A">
        <w:rPr>
          <w:sz w:val="22"/>
          <w:szCs w:val="22"/>
          <w:vertAlign w:val="subscript"/>
        </w:rPr>
        <w:t>it</w:t>
      </w:r>
      <w:r w:rsidRPr="007D5E4A">
        <w:rPr>
          <w:sz w:val="22"/>
          <w:szCs w:val="22"/>
        </w:rPr>
        <w:t xml:space="preserve">                                         </w:t>
      </w:r>
      <w:r w:rsidR="00014655" w:rsidRPr="007D5E4A">
        <w:rPr>
          <w:sz w:val="22"/>
          <w:szCs w:val="22"/>
        </w:rPr>
        <w:t xml:space="preserve">  </w:t>
      </w:r>
      <w:r w:rsidR="007D5E4A">
        <w:rPr>
          <w:sz w:val="22"/>
          <w:szCs w:val="22"/>
        </w:rPr>
        <w:t xml:space="preserve">    </w:t>
      </w:r>
      <w:r w:rsidRPr="007D5E4A">
        <w:rPr>
          <w:sz w:val="22"/>
          <w:szCs w:val="22"/>
        </w:rPr>
        <w:t xml:space="preserve">             (1)</w:t>
      </w:r>
    </w:p>
    <w:p w14:paraId="22A5D0F1" w14:textId="77777777" w:rsidR="00014655" w:rsidRPr="007D5E4A" w:rsidRDefault="00014655" w:rsidP="00DD0B52">
      <w:pPr>
        <w:jc w:val="center"/>
      </w:pPr>
    </w:p>
    <w:p w14:paraId="4E4D63B9" w14:textId="77777777" w:rsidR="00CB2EB7" w:rsidRPr="007D5E4A" w:rsidRDefault="00E020ED" w:rsidP="00DD0B52">
      <w:r w:rsidRPr="00E020ED">
        <w:t>α is a constant term, ln</w:t>
      </w:r>
      <w:r w:rsidRPr="00E020ED">
        <w:rPr>
          <w:i/>
          <w:iCs/>
        </w:rPr>
        <w:t>F</w:t>
      </w:r>
      <w:r w:rsidRPr="00E020ED">
        <w:rPr>
          <w:vertAlign w:val="subscript"/>
        </w:rPr>
        <w:t>it</w:t>
      </w:r>
      <w:r w:rsidRPr="00E020ED">
        <w:t>​ represents the natural logarithm of the fertility rate of country </w:t>
      </w:r>
      <w:r w:rsidRPr="00E020ED">
        <w:rPr>
          <w:i/>
          <w:iCs/>
        </w:rPr>
        <w:t>i</w:t>
      </w:r>
      <w:r w:rsidRPr="00E020ED">
        <w:t> (where </w:t>
      </w:r>
      <w:r w:rsidRPr="00E020ED">
        <w:rPr>
          <w:i/>
          <w:iCs/>
        </w:rPr>
        <w:t>i</w:t>
      </w:r>
      <w:r w:rsidRPr="00E020ED">
        <w:t>=1,…,N) at time t,</w:t>
      </w:r>
      <w:r w:rsidRPr="007D5E4A">
        <w:t xml:space="preserve"> </w:t>
      </w:r>
      <w:r w:rsidRPr="00E020ED">
        <w:t>X</w:t>
      </w:r>
      <w:r w:rsidRPr="00E020ED">
        <w:rPr>
          <w:vertAlign w:val="subscript"/>
        </w:rPr>
        <w:t>it</w:t>
      </w:r>
      <w:r w:rsidRPr="00E020ED">
        <w:t>​ is a vector of the independent variables affecting fertility rates (e.g., life expectancy, GDP per capita, urbanization, etc.) except for those variables that are incorporated through Principal Component Analysis,</w:t>
      </w:r>
      <w:r w:rsidRPr="007D5E4A">
        <w:t xml:space="preserve"> </w:t>
      </w:r>
      <w:r w:rsidRPr="00E020ED">
        <w:t>β′ represents the vector of slope coefficients associated with the independent variables,</w:t>
      </w:r>
      <w:r w:rsidRPr="007D5E4A">
        <w:t xml:space="preserve"> </w:t>
      </w:r>
      <w:r w:rsidRPr="00E020ED">
        <w:t>μ</w:t>
      </w:r>
      <w:r w:rsidRPr="00E020ED">
        <w:rPr>
          <w:vertAlign w:val="subscript"/>
        </w:rPr>
        <w:t>i</w:t>
      </w:r>
      <w:r w:rsidRPr="00E020ED">
        <w:t xml:space="preserve">​ is an unobserved </w:t>
      </w:r>
      <w:r w:rsidRPr="00E020ED">
        <w:lastRenderedPageBreak/>
        <w:t>country-specific effect,</w:t>
      </w:r>
      <w:r w:rsidRPr="007D5E4A">
        <w:t xml:space="preserve"> </w:t>
      </w:r>
      <w:r w:rsidRPr="00E020ED">
        <w:t>δ</w:t>
      </w:r>
      <w:r w:rsidRPr="007D5E4A">
        <w:rPr>
          <w:vertAlign w:val="subscript"/>
        </w:rPr>
        <w:t>t</w:t>
      </w:r>
      <w:r w:rsidRPr="00E020ED">
        <w:t>​ captures time-specific effects,</w:t>
      </w:r>
      <w:r w:rsidRPr="007D5E4A">
        <w:t xml:space="preserve"> ϵ</w:t>
      </w:r>
      <w:r w:rsidRPr="007D5E4A">
        <w:rPr>
          <w:vertAlign w:val="subscript"/>
        </w:rPr>
        <w:t>it</w:t>
      </w:r>
      <w:r w:rsidRPr="007D5E4A">
        <w:t>​ is the error term, assumed to be uniformly distributed across countries and time periods.</w:t>
      </w:r>
    </w:p>
    <w:p w14:paraId="09F79690" w14:textId="77777777" w:rsidR="00E020ED" w:rsidRPr="007D5E4A" w:rsidRDefault="00E020ED" w:rsidP="00DD0B52"/>
    <w:p w14:paraId="7A57CA6E" w14:textId="77777777" w:rsidR="00E020ED" w:rsidRPr="007D5E4A" w:rsidRDefault="00E020ED" w:rsidP="00DD0B52">
      <w:r w:rsidRPr="00E020ED">
        <w:t>Expanding this general model, we define the panel data model for fertility rates as follows:</w:t>
      </w:r>
    </w:p>
    <w:p w14:paraId="14FDE00A" w14:textId="77777777" w:rsidR="00014655" w:rsidRPr="00E020ED" w:rsidRDefault="00014655" w:rsidP="00DD0B52"/>
    <w:p w14:paraId="6A889FB2" w14:textId="77777777" w:rsidR="00E020ED" w:rsidRPr="007D5E4A" w:rsidRDefault="007D5E4A" w:rsidP="00DD0B52">
      <w:pPr>
        <w:jc w:val="center"/>
        <w:rPr>
          <w:sz w:val="22"/>
          <w:szCs w:val="22"/>
        </w:rPr>
      </w:pPr>
      <w:r>
        <w:rPr>
          <w:sz w:val="22"/>
          <w:szCs w:val="22"/>
        </w:rPr>
        <w:t xml:space="preserve">   </w:t>
      </w:r>
      <w:r w:rsidR="00E020ED" w:rsidRPr="007D5E4A">
        <w:rPr>
          <w:sz w:val="22"/>
          <w:szCs w:val="22"/>
        </w:rPr>
        <w:t>ln</w:t>
      </w:r>
      <w:r w:rsidR="00E020ED" w:rsidRPr="007D5E4A">
        <w:rPr>
          <w:i/>
          <w:iCs/>
          <w:sz w:val="22"/>
          <w:szCs w:val="22"/>
        </w:rPr>
        <w:t>F</w:t>
      </w:r>
      <w:r w:rsidR="00E020ED" w:rsidRPr="007D5E4A">
        <w:rPr>
          <w:sz w:val="22"/>
          <w:szCs w:val="22"/>
          <w:vertAlign w:val="subscript"/>
        </w:rPr>
        <w:t xml:space="preserve">it </w:t>
      </w:r>
      <w:r w:rsidR="00E020ED" w:rsidRPr="007D5E4A">
        <w:rPr>
          <w:sz w:val="22"/>
          <w:szCs w:val="22"/>
        </w:rPr>
        <w:t>= α + β</w:t>
      </w:r>
      <w:r w:rsidR="00E020ED" w:rsidRPr="007D5E4A">
        <w:rPr>
          <w:sz w:val="22"/>
          <w:szCs w:val="22"/>
          <w:vertAlign w:val="subscript"/>
        </w:rPr>
        <w:t>1</w:t>
      </w:r>
      <w:r w:rsidR="00E020ED" w:rsidRPr="007D5E4A">
        <w:rPr>
          <w:sz w:val="22"/>
          <w:szCs w:val="22"/>
        </w:rPr>
        <w:t>ln</w:t>
      </w:r>
      <w:r w:rsidR="00E020ED" w:rsidRPr="007D5E4A">
        <w:rPr>
          <w:i/>
          <w:iCs/>
          <w:sz w:val="22"/>
          <w:szCs w:val="22"/>
        </w:rPr>
        <w:t>LE</w:t>
      </w:r>
      <w:r w:rsidR="00E020ED" w:rsidRPr="007D5E4A">
        <w:rPr>
          <w:sz w:val="22"/>
          <w:szCs w:val="22"/>
          <w:vertAlign w:val="subscript"/>
        </w:rPr>
        <w:t xml:space="preserve">it </w:t>
      </w:r>
      <w:r w:rsidR="00E020ED" w:rsidRPr="007D5E4A">
        <w:rPr>
          <w:sz w:val="22"/>
          <w:szCs w:val="22"/>
        </w:rPr>
        <w:t>+ β</w:t>
      </w:r>
      <w:r w:rsidR="00E020ED" w:rsidRPr="007D5E4A">
        <w:rPr>
          <w:sz w:val="22"/>
          <w:szCs w:val="22"/>
          <w:vertAlign w:val="subscript"/>
        </w:rPr>
        <w:t>2</w:t>
      </w:r>
      <w:r w:rsidR="00E020ED" w:rsidRPr="007D5E4A">
        <w:rPr>
          <w:sz w:val="22"/>
          <w:szCs w:val="22"/>
        </w:rPr>
        <w:t>ln</w:t>
      </w:r>
      <w:r w:rsidR="00E020ED" w:rsidRPr="007D5E4A">
        <w:rPr>
          <w:i/>
          <w:iCs/>
          <w:sz w:val="22"/>
          <w:szCs w:val="22"/>
        </w:rPr>
        <w:t>GDP</w:t>
      </w:r>
      <w:r w:rsidR="00E020ED" w:rsidRPr="007D5E4A">
        <w:rPr>
          <w:sz w:val="22"/>
          <w:szCs w:val="22"/>
          <w:vertAlign w:val="subscript"/>
        </w:rPr>
        <w:t xml:space="preserve">it </w:t>
      </w:r>
      <w:r w:rsidR="00E020ED" w:rsidRPr="007D5E4A">
        <w:rPr>
          <w:sz w:val="22"/>
          <w:szCs w:val="22"/>
        </w:rPr>
        <w:t>+ β</w:t>
      </w:r>
      <w:r w:rsidR="00E020ED" w:rsidRPr="007D5E4A">
        <w:rPr>
          <w:sz w:val="22"/>
          <w:szCs w:val="22"/>
          <w:vertAlign w:val="subscript"/>
        </w:rPr>
        <w:t>3</w:t>
      </w:r>
      <w:r w:rsidR="00E020ED" w:rsidRPr="007D5E4A">
        <w:rPr>
          <w:sz w:val="22"/>
          <w:szCs w:val="22"/>
        </w:rPr>
        <w:t>ln</w:t>
      </w:r>
      <w:r w:rsidR="00E020ED" w:rsidRPr="007D5E4A">
        <w:rPr>
          <w:i/>
          <w:iCs/>
          <w:sz w:val="22"/>
          <w:szCs w:val="22"/>
        </w:rPr>
        <w:t>URB</w:t>
      </w:r>
      <w:r w:rsidR="00E020ED" w:rsidRPr="007D5E4A">
        <w:rPr>
          <w:sz w:val="22"/>
          <w:szCs w:val="22"/>
          <w:vertAlign w:val="subscript"/>
        </w:rPr>
        <w:t>it</w:t>
      </w:r>
      <w:r w:rsidR="00E020ED" w:rsidRPr="007D5E4A">
        <w:rPr>
          <w:sz w:val="22"/>
          <w:szCs w:val="22"/>
        </w:rPr>
        <w:t>+ β</w:t>
      </w:r>
      <w:r w:rsidR="00E020ED" w:rsidRPr="007D5E4A">
        <w:rPr>
          <w:sz w:val="22"/>
          <w:szCs w:val="22"/>
          <w:vertAlign w:val="subscript"/>
        </w:rPr>
        <w:t>4</w:t>
      </w:r>
      <w:r w:rsidR="00E020ED" w:rsidRPr="007D5E4A">
        <w:rPr>
          <w:sz w:val="22"/>
          <w:szCs w:val="22"/>
        </w:rPr>
        <w:t>ln</w:t>
      </w:r>
      <w:r w:rsidR="00E020ED" w:rsidRPr="007D5E4A">
        <w:rPr>
          <w:i/>
          <w:iCs/>
          <w:sz w:val="22"/>
          <w:szCs w:val="22"/>
        </w:rPr>
        <w:t>EDU</w:t>
      </w:r>
      <w:r w:rsidR="00E020ED" w:rsidRPr="007D5E4A">
        <w:rPr>
          <w:sz w:val="22"/>
          <w:szCs w:val="22"/>
          <w:vertAlign w:val="subscript"/>
        </w:rPr>
        <w:t xml:space="preserve">it </w:t>
      </w:r>
      <w:r w:rsidR="00E020ED" w:rsidRPr="007D5E4A">
        <w:rPr>
          <w:sz w:val="22"/>
          <w:szCs w:val="22"/>
        </w:rPr>
        <w:t>+ β</w:t>
      </w:r>
      <w:r w:rsidR="00E020ED" w:rsidRPr="007D5E4A">
        <w:rPr>
          <w:sz w:val="22"/>
          <w:szCs w:val="22"/>
          <w:vertAlign w:val="subscript"/>
        </w:rPr>
        <w:t>5</w:t>
      </w:r>
      <w:r w:rsidR="00E020ED" w:rsidRPr="007D5E4A">
        <w:rPr>
          <w:sz w:val="22"/>
          <w:szCs w:val="22"/>
        </w:rPr>
        <w:t>ln</w:t>
      </w:r>
      <w:r w:rsidR="00E020ED" w:rsidRPr="007D5E4A">
        <w:rPr>
          <w:i/>
          <w:iCs/>
          <w:sz w:val="22"/>
          <w:szCs w:val="22"/>
        </w:rPr>
        <w:t>MAC</w:t>
      </w:r>
      <w:r w:rsidR="00E020ED" w:rsidRPr="007D5E4A">
        <w:rPr>
          <w:sz w:val="22"/>
          <w:szCs w:val="22"/>
          <w:vertAlign w:val="subscript"/>
        </w:rPr>
        <w:t xml:space="preserve">it </w:t>
      </w:r>
      <w:r w:rsidR="00E020ED" w:rsidRPr="007D5E4A">
        <w:rPr>
          <w:sz w:val="22"/>
          <w:szCs w:val="22"/>
        </w:rPr>
        <w:t>+ β</w:t>
      </w:r>
      <w:r w:rsidR="00E020ED" w:rsidRPr="007D5E4A">
        <w:rPr>
          <w:sz w:val="22"/>
          <w:szCs w:val="22"/>
          <w:vertAlign w:val="subscript"/>
        </w:rPr>
        <w:t>6</w:t>
      </w:r>
      <w:r w:rsidR="00E020ED" w:rsidRPr="007D5E4A">
        <w:rPr>
          <w:i/>
          <w:iCs/>
          <w:sz w:val="22"/>
          <w:szCs w:val="22"/>
        </w:rPr>
        <w:t>PCA</w:t>
      </w:r>
      <w:r w:rsidR="00E020ED" w:rsidRPr="007D5E4A">
        <w:rPr>
          <w:sz w:val="22"/>
          <w:szCs w:val="22"/>
          <w:vertAlign w:val="subscript"/>
        </w:rPr>
        <w:t>it</w:t>
      </w:r>
      <w:r w:rsidR="00E020ED" w:rsidRPr="007D5E4A">
        <w:rPr>
          <w:sz w:val="22"/>
          <w:szCs w:val="22"/>
        </w:rPr>
        <w:t xml:space="preserve"> + μ</w:t>
      </w:r>
      <w:r w:rsidR="00E020ED" w:rsidRPr="007D5E4A">
        <w:rPr>
          <w:sz w:val="22"/>
          <w:szCs w:val="22"/>
          <w:vertAlign w:val="subscript"/>
        </w:rPr>
        <w:t>i</w:t>
      </w:r>
      <w:r w:rsidR="00E020ED" w:rsidRPr="007D5E4A">
        <w:rPr>
          <w:sz w:val="22"/>
          <w:szCs w:val="22"/>
        </w:rPr>
        <w:t xml:space="preserve"> + δ</w:t>
      </w:r>
      <w:r w:rsidR="00E020ED" w:rsidRPr="007D5E4A">
        <w:rPr>
          <w:sz w:val="22"/>
          <w:szCs w:val="22"/>
          <w:vertAlign w:val="subscript"/>
        </w:rPr>
        <w:t xml:space="preserve">t </w:t>
      </w:r>
      <w:r w:rsidR="00E020ED" w:rsidRPr="007D5E4A">
        <w:rPr>
          <w:sz w:val="22"/>
          <w:szCs w:val="22"/>
        </w:rPr>
        <w:t>+ ϵ</w:t>
      </w:r>
      <w:r w:rsidR="00E020ED" w:rsidRPr="007D5E4A">
        <w:rPr>
          <w:sz w:val="22"/>
          <w:szCs w:val="22"/>
          <w:vertAlign w:val="subscript"/>
        </w:rPr>
        <w:t xml:space="preserve">it  </w:t>
      </w:r>
      <w:r w:rsidR="00014655" w:rsidRPr="007D5E4A">
        <w:rPr>
          <w:sz w:val="22"/>
          <w:szCs w:val="22"/>
          <w:vertAlign w:val="subscript"/>
        </w:rPr>
        <w:t xml:space="preserve"> </w:t>
      </w:r>
      <w:r>
        <w:rPr>
          <w:sz w:val="22"/>
          <w:szCs w:val="22"/>
          <w:vertAlign w:val="subscript"/>
        </w:rPr>
        <w:t xml:space="preserve">     </w:t>
      </w:r>
      <w:r w:rsidR="00014655" w:rsidRPr="007D5E4A">
        <w:rPr>
          <w:sz w:val="22"/>
          <w:szCs w:val="22"/>
          <w:vertAlign w:val="subscript"/>
        </w:rPr>
        <w:t xml:space="preserve">        </w:t>
      </w:r>
      <w:r w:rsidR="00E020ED" w:rsidRPr="007D5E4A">
        <w:rPr>
          <w:sz w:val="22"/>
          <w:szCs w:val="22"/>
        </w:rPr>
        <w:t>(2)</w:t>
      </w:r>
    </w:p>
    <w:p w14:paraId="1663551F" w14:textId="77777777" w:rsidR="00014655" w:rsidRPr="007D5E4A" w:rsidRDefault="00014655" w:rsidP="00DD0B52">
      <w:pPr>
        <w:rPr>
          <w:b/>
          <w:bCs/>
        </w:rPr>
      </w:pPr>
    </w:p>
    <w:p w14:paraId="7BC5377C" w14:textId="77777777" w:rsidR="00014655" w:rsidRPr="007D5E4A" w:rsidRDefault="00014655" w:rsidP="00DD0B52">
      <w:pPr>
        <w:rPr>
          <w:b/>
          <w:bCs/>
        </w:rPr>
      </w:pPr>
      <w:r w:rsidRPr="007D5E4A">
        <w:t>ln</w:t>
      </w:r>
      <w:r w:rsidRPr="007D5E4A">
        <w:rPr>
          <w:i/>
          <w:iCs/>
        </w:rPr>
        <w:t>F</w:t>
      </w:r>
      <w:r w:rsidRPr="007D5E4A">
        <w:rPr>
          <w:vertAlign w:val="subscript"/>
        </w:rPr>
        <w:t xml:space="preserve">it </w:t>
      </w:r>
      <w:r w:rsidRPr="00014655">
        <w:t>is the natural logarithm of the fertility rate for country </w:t>
      </w:r>
      <w:r w:rsidRPr="00014655">
        <w:rPr>
          <w:i/>
          <w:iCs/>
        </w:rPr>
        <w:t>i</w:t>
      </w:r>
      <w:r w:rsidRPr="00014655">
        <w:t> at time </w:t>
      </w:r>
      <w:r w:rsidRPr="00014655">
        <w:rPr>
          <w:i/>
          <w:iCs/>
        </w:rPr>
        <w:t>t</w:t>
      </w:r>
      <w:r w:rsidRPr="00014655">
        <w:t>,</w:t>
      </w:r>
      <w:r w:rsidRPr="007D5E4A">
        <w:t xml:space="preserve"> </w:t>
      </w:r>
      <w:r w:rsidRPr="00014655">
        <w:t>ln</w:t>
      </w:r>
      <w:r w:rsidRPr="00014655">
        <w:rPr>
          <w:i/>
          <w:iCs/>
        </w:rPr>
        <w:t>LE</w:t>
      </w:r>
      <w:r w:rsidRPr="00014655">
        <w:rPr>
          <w:vertAlign w:val="subscript"/>
        </w:rPr>
        <w:t>it</w:t>
      </w:r>
      <w:r w:rsidRPr="00014655">
        <w:t>​ represents the natural logarithm of life expectancy, capturing the relationship between health and fertility,</w:t>
      </w:r>
      <w:r w:rsidRPr="007D5E4A">
        <w:t xml:space="preserve"> </w:t>
      </w:r>
      <w:r w:rsidRPr="00014655">
        <w:t>ln</w:t>
      </w:r>
      <w:r w:rsidRPr="00014655">
        <w:rPr>
          <w:i/>
          <w:iCs/>
        </w:rPr>
        <w:t>GDP</w:t>
      </w:r>
      <w:r w:rsidRPr="00014655">
        <w:rPr>
          <w:vertAlign w:val="subscript"/>
        </w:rPr>
        <w:t>it</w:t>
      </w:r>
      <w:r w:rsidRPr="00014655">
        <w:t>​ is the natural logarithm of GDP per capita, an economic indicator that reflects income levels,</w:t>
      </w:r>
      <w:r w:rsidRPr="007D5E4A">
        <w:t xml:space="preserve"> </w:t>
      </w:r>
      <w:r w:rsidRPr="00014655">
        <w:t>ln</w:t>
      </w:r>
      <w:r w:rsidRPr="00014655">
        <w:rPr>
          <w:i/>
          <w:iCs/>
        </w:rPr>
        <w:t>URB</w:t>
      </w:r>
      <w:r w:rsidRPr="00014655">
        <w:rPr>
          <w:vertAlign w:val="subscript"/>
        </w:rPr>
        <w:t>it</w:t>
      </w:r>
      <w:r w:rsidRPr="00014655">
        <w:t>​ is the natural logarithm of the urbanization rate, representing the proportion of the population residing in urban areas,</w:t>
      </w:r>
      <w:r w:rsidRPr="007D5E4A">
        <w:t xml:space="preserve"> </w:t>
      </w:r>
      <w:r w:rsidRPr="00014655">
        <w:t>ln</w:t>
      </w:r>
      <w:r w:rsidRPr="00014655">
        <w:rPr>
          <w:i/>
          <w:iCs/>
        </w:rPr>
        <w:t>EDU</w:t>
      </w:r>
      <w:r w:rsidRPr="00014655">
        <w:rPr>
          <w:vertAlign w:val="subscript"/>
        </w:rPr>
        <w:t>it</w:t>
      </w:r>
      <w:r w:rsidRPr="007D5E4A">
        <w:rPr>
          <w:vertAlign w:val="subscript"/>
        </w:rPr>
        <w:t xml:space="preserve"> </w:t>
      </w:r>
      <w:r w:rsidRPr="00014655">
        <w:t>denotes the natural logarithm of educational attainment, reflecting the level of education in the population,</w:t>
      </w:r>
      <w:r w:rsidRPr="007D5E4A">
        <w:t xml:space="preserve"> </w:t>
      </w:r>
      <w:r w:rsidRPr="00014655">
        <w:t>ln</w:t>
      </w:r>
      <w:r w:rsidRPr="00014655">
        <w:rPr>
          <w:i/>
          <w:iCs/>
        </w:rPr>
        <w:t>MAC</w:t>
      </w:r>
      <w:r w:rsidRPr="00014655">
        <w:rPr>
          <w:vertAlign w:val="subscript"/>
        </w:rPr>
        <w:t>it</w:t>
      </w:r>
      <w:r w:rsidRPr="00014655">
        <w:t>​ is the natural logarithm of the mean age at childbearing, an indicator of the timing of fertility,</w:t>
      </w:r>
      <w:r w:rsidRPr="007D5E4A">
        <w:t xml:space="preserve"> </w:t>
      </w:r>
      <w:r w:rsidRPr="00014655">
        <w:rPr>
          <w:i/>
          <w:iCs/>
        </w:rPr>
        <w:t>PCA</w:t>
      </w:r>
      <w:r w:rsidRPr="00014655">
        <w:rPr>
          <w:vertAlign w:val="subscript"/>
        </w:rPr>
        <w:t>it</w:t>
      </w:r>
      <w:r w:rsidRPr="007D5E4A">
        <w:t xml:space="preserve"> </w:t>
      </w:r>
      <w:r w:rsidRPr="00014655">
        <w:t>represents the principal component analysis score comprising governance and institutional quality indicators, including variables such as political stability, regulatory quality, rule of law, and government effectiveness,</w:t>
      </w:r>
      <w:r w:rsidRPr="007D5E4A">
        <w:t xml:space="preserve"> </w:t>
      </w:r>
      <w:r w:rsidRPr="00014655">
        <w:t>μ</w:t>
      </w:r>
      <w:r w:rsidRPr="007D5E4A">
        <w:rPr>
          <w:vertAlign w:val="subscript"/>
        </w:rPr>
        <w:t>i</w:t>
      </w:r>
      <w:r w:rsidRPr="00014655">
        <w:t>​ captures the unobserved country-specific effect (fixed or random),</w:t>
      </w:r>
      <w:r w:rsidRPr="007D5E4A">
        <w:t xml:space="preserve"> </w:t>
      </w:r>
      <w:r w:rsidRPr="00014655">
        <w:t>δ</w:t>
      </w:r>
      <w:r w:rsidRPr="00014655">
        <w:rPr>
          <w:vertAlign w:val="subscript"/>
        </w:rPr>
        <w:t>t</w:t>
      </w:r>
      <w:r w:rsidRPr="00014655">
        <w:t>​ captures the time-specific effects that control for common shocks or trends,</w:t>
      </w:r>
      <w:r w:rsidRPr="007D5E4A">
        <w:t xml:space="preserve"> </w:t>
      </w:r>
      <w:r w:rsidRPr="00014655">
        <w:t>ϵ</w:t>
      </w:r>
      <w:r w:rsidRPr="00014655">
        <w:rPr>
          <w:vertAlign w:val="subscript"/>
        </w:rPr>
        <w:t>it</w:t>
      </w:r>
      <w:r w:rsidRPr="00014655">
        <w:t> represents the idiosyncratic error term, assumed to be normally distributed across countries and time periods.</w:t>
      </w:r>
      <w:r w:rsidRPr="007D5E4A">
        <w:t xml:space="preserve"> </w:t>
      </w:r>
      <w:r w:rsidR="000D4CAB" w:rsidRPr="000D4CAB">
        <w:t>All variables are transformed into natural logarithmic form except for the governance indicators in PCA</w:t>
      </w:r>
      <w:r w:rsidR="000D4CAB">
        <w:rPr>
          <w:vertAlign w:val="subscript"/>
        </w:rPr>
        <w:t>it</w:t>
      </w:r>
      <w:r w:rsidR="000D4CAB" w:rsidRPr="000D4CAB">
        <w:t xml:space="preserve">​, which are composite scores derived from Principal Component Analysis. The logarithmic transformation is applied to reduce skewness and heteroscedasticity in the data, creating a more normalized distribution for the variables </w:t>
      </w:r>
      <w:hyperlink w:anchor="no5" w:history="1">
        <w:hyperlink w:anchor="no5" w:history="1">
          <w:r w:rsidR="00174047" w:rsidRPr="00174047">
            <w:rPr>
              <w:rStyle w:val="Hyperlink"/>
            </w:rPr>
            <w:t>[5]</w:t>
          </w:r>
        </w:hyperlink>
      </w:hyperlink>
      <w:r w:rsidR="000D4CAB" w:rsidRPr="000D4CAB">
        <w:t>.</w:t>
      </w:r>
    </w:p>
    <w:p w14:paraId="57EE9D36" w14:textId="77777777" w:rsidR="007D5E4A" w:rsidRPr="007D5E4A" w:rsidRDefault="008842AA" w:rsidP="00DD0B52">
      <w:pPr>
        <w:spacing w:before="100" w:beforeAutospacing="1" w:after="100" w:afterAutospacing="1"/>
        <w:rPr>
          <w:lang w:eastAsia="en-IN"/>
        </w:rPr>
      </w:pPr>
      <w:r>
        <w:rPr>
          <w:b/>
          <w:bCs/>
          <w:lang w:eastAsia="en-IN"/>
        </w:rPr>
        <w:t>5</w:t>
      </w:r>
      <w:r w:rsidR="007D5E4A" w:rsidRPr="007D5E4A">
        <w:rPr>
          <w:b/>
          <w:bCs/>
          <w:lang w:eastAsia="en-IN"/>
        </w:rPr>
        <w:t>.2 Principal Component Analysis</w:t>
      </w:r>
    </w:p>
    <w:p w14:paraId="7812028C" w14:textId="77777777" w:rsidR="007D5E4A" w:rsidRPr="007D5E4A" w:rsidRDefault="00A5279F" w:rsidP="00DD0B52">
      <w:pPr>
        <w:spacing w:before="100" w:beforeAutospacing="1" w:after="100" w:afterAutospacing="1"/>
        <w:rPr>
          <w:lang w:eastAsia="en-IN"/>
        </w:rPr>
      </w:pPr>
      <w:r w:rsidRPr="00A5279F">
        <w:rPr>
          <w:lang w:eastAsia="en-IN"/>
        </w:rPr>
        <w:t xml:space="preserve">In our study, Principal Component Analysis (PCA) is employed to consolidate governance indicators, thereby reducing the dimensionality of our dataset and highlighting essential trends in fertility rates. PCA serves as a technique for transforming correlated variables into a set of uncorrelated components, streamlining data by capturing its most informative structure </w:t>
      </w:r>
      <w:hyperlink w:anchor="no7" w:history="1">
        <w:hyperlink w:anchor="no7" w:history="1">
          <w:r w:rsidR="00174047" w:rsidRPr="00174047">
            <w:rPr>
              <w:rStyle w:val="Hyperlink"/>
            </w:rPr>
            <w:t>[7]</w:t>
          </w:r>
        </w:hyperlink>
      </w:hyperlink>
      <w:r w:rsidRPr="00A5279F">
        <w:rPr>
          <w:lang w:eastAsia="en-IN"/>
        </w:rPr>
        <w:t xml:space="preserve">. </w:t>
      </w:r>
      <w:r w:rsidR="007D5E4A" w:rsidRPr="007D5E4A">
        <w:rPr>
          <w:lang w:eastAsia="en-IN"/>
        </w:rPr>
        <w:t>The transformation is defined as follows:</w:t>
      </w:r>
    </w:p>
    <w:p w14:paraId="65F89E35" w14:textId="77777777" w:rsidR="007D5E4A" w:rsidRPr="007D5E4A" w:rsidRDefault="007D5E4A" w:rsidP="00DD0B52">
      <w:pPr>
        <w:jc w:val="center"/>
        <w:rPr>
          <w:lang w:eastAsia="en-IN"/>
        </w:rPr>
      </w:pPr>
      <w:r w:rsidRPr="007D5E4A">
        <w:rPr>
          <w:lang w:eastAsia="en-IN"/>
        </w:rPr>
        <w:t>Z1 = a1</w:t>
      </w:r>
      <w:r w:rsidRPr="007D5E4A">
        <w:rPr>
          <w:rFonts w:ascii="Cambria Math" w:hAnsi="Cambria Math" w:cs="Cambria Math"/>
          <w:lang w:eastAsia="en-IN"/>
        </w:rPr>
        <w:t>⋅</w:t>
      </w:r>
      <w:r w:rsidRPr="007D5E4A">
        <w:rPr>
          <w:lang w:eastAsia="en-IN"/>
        </w:rPr>
        <w:t>X = a</w:t>
      </w:r>
      <w:r w:rsidRPr="007D5E4A">
        <w:rPr>
          <w:vertAlign w:val="subscript"/>
          <w:lang w:eastAsia="en-IN"/>
        </w:rPr>
        <w:t>11</w:t>
      </w:r>
      <w:r w:rsidRPr="007D5E4A">
        <w:rPr>
          <w:lang w:eastAsia="en-IN"/>
        </w:rPr>
        <w:t>X</w:t>
      </w:r>
      <w:r w:rsidRPr="007D5E4A">
        <w:rPr>
          <w:vertAlign w:val="subscript"/>
          <w:lang w:eastAsia="en-IN"/>
        </w:rPr>
        <w:t xml:space="preserve">1 </w:t>
      </w:r>
      <w:r w:rsidRPr="007D5E4A">
        <w:rPr>
          <w:lang w:eastAsia="en-IN"/>
        </w:rPr>
        <w:t>+ a</w:t>
      </w:r>
      <w:r w:rsidRPr="007D5E4A">
        <w:rPr>
          <w:vertAlign w:val="subscript"/>
          <w:lang w:eastAsia="en-IN"/>
        </w:rPr>
        <w:t>12</w:t>
      </w:r>
      <w:r w:rsidRPr="007D5E4A">
        <w:rPr>
          <w:lang w:eastAsia="en-IN"/>
        </w:rPr>
        <w:t>X</w:t>
      </w:r>
      <w:r w:rsidRPr="007D5E4A">
        <w:rPr>
          <w:vertAlign w:val="subscript"/>
          <w:lang w:eastAsia="en-IN"/>
        </w:rPr>
        <w:t xml:space="preserve">2 </w:t>
      </w:r>
      <w:r w:rsidRPr="007D5E4A">
        <w:rPr>
          <w:lang w:eastAsia="en-IN"/>
        </w:rPr>
        <w:t xml:space="preserve">+ </w:t>
      </w:r>
      <w:r w:rsidRPr="007D5E4A">
        <w:rPr>
          <w:rFonts w:ascii="Cambria Math" w:hAnsi="Cambria Math" w:cs="Cambria Math"/>
          <w:lang w:eastAsia="en-IN"/>
        </w:rPr>
        <w:t>⋯</w:t>
      </w:r>
      <w:r w:rsidRPr="007D5E4A">
        <w:rPr>
          <w:lang w:eastAsia="en-IN"/>
        </w:rPr>
        <w:t xml:space="preserve"> + a</w:t>
      </w:r>
      <w:r w:rsidRPr="007D5E4A">
        <w:rPr>
          <w:vertAlign w:val="subscript"/>
          <w:lang w:eastAsia="en-IN"/>
        </w:rPr>
        <w:t>1n</w:t>
      </w:r>
      <w:r w:rsidRPr="007D5E4A">
        <w:rPr>
          <w:lang w:eastAsia="en-IN"/>
        </w:rPr>
        <w:t>X</w:t>
      </w:r>
      <w:r w:rsidRPr="007D5E4A">
        <w:rPr>
          <w:vertAlign w:val="subscript"/>
          <w:lang w:eastAsia="en-IN"/>
        </w:rPr>
        <w:t>n</w:t>
      </w:r>
      <w:r w:rsidRPr="007D5E4A">
        <w:rPr>
          <w:lang w:eastAsia="en-IN"/>
        </w:rPr>
        <w:t xml:space="preserve"> </w:t>
      </w:r>
    </w:p>
    <w:p w14:paraId="0DDA4015" w14:textId="77777777" w:rsidR="007D5E4A" w:rsidRPr="007D5E4A" w:rsidRDefault="007D5E4A" w:rsidP="00DD0B52">
      <w:pPr>
        <w:jc w:val="center"/>
        <w:rPr>
          <w:lang w:eastAsia="en-IN"/>
        </w:rPr>
      </w:pPr>
    </w:p>
    <w:p w14:paraId="08D91D87" w14:textId="77777777" w:rsidR="007D5E4A" w:rsidRPr="007D5E4A" w:rsidRDefault="007D5E4A" w:rsidP="00DD0B52">
      <w:pPr>
        <w:jc w:val="center"/>
        <w:rPr>
          <w:vertAlign w:val="subscript"/>
          <w:lang w:eastAsia="en-IN"/>
        </w:rPr>
      </w:pPr>
      <w:r w:rsidRPr="007D5E4A">
        <w:rPr>
          <w:lang w:eastAsia="en-IN"/>
        </w:rPr>
        <w:t>Z2 = a</w:t>
      </w:r>
      <w:r w:rsidRPr="007D5E4A">
        <w:rPr>
          <w:vertAlign w:val="subscript"/>
          <w:lang w:eastAsia="en-IN"/>
        </w:rPr>
        <w:t>2</w:t>
      </w:r>
      <w:r w:rsidRPr="007D5E4A">
        <w:rPr>
          <w:rFonts w:ascii="Cambria Math" w:hAnsi="Cambria Math" w:cs="Cambria Math"/>
          <w:lang w:eastAsia="en-IN"/>
        </w:rPr>
        <w:t>⋅</w:t>
      </w:r>
      <w:r w:rsidRPr="007D5E4A">
        <w:rPr>
          <w:lang w:eastAsia="en-IN"/>
        </w:rPr>
        <w:t>X = a</w:t>
      </w:r>
      <w:r w:rsidRPr="007D5E4A">
        <w:rPr>
          <w:vertAlign w:val="subscript"/>
          <w:lang w:eastAsia="en-IN"/>
        </w:rPr>
        <w:t>21</w:t>
      </w:r>
      <w:r w:rsidRPr="007D5E4A">
        <w:rPr>
          <w:lang w:eastAsia="en-IN"/>
        </w:rPr>
        <w:t>X</w:t>
      </w:r>
      <w:r w:rsidRPr="007D5E4A">
        <w:rPr>
          <w:vertAlign w:val="subscript"/>
          <w:lang w:eastAsia="en-IN"/>
        </w:rPr>
        <w:t xml:space="preserve">1 </w:t>
      </w:r>
      <w:r w:rsidRPr="007D5E4A">
        <w:rPr>
          <w:lang w:eastAsia="en-IN"/>
        </w:rPr>
        <w:t>+ a</w:t>
      </w:r>
      <w:r w:rsidRPr="007D5E4A">
        <w:rPr>
          <w:vertAlign w:val="subscript"/>
          <w:lang w:eastAsia="en-IN"/>
        </w:rPr>
        <w:t>22</w:t>
      </w:r>
      <w:r w:rsidRPr="007D5E4A">
        <w:rPr>
          <w:lang w:eastAsia="en-IN"/>
        </w:rPr>
        <w:t>X</w:t>
      </w:r>
      <w:r w:rsidRPr="007D5E4A">
        <w:rPr>
          <w:vertAlign w:val="subscript"/>
          <w:lang w:eastAsia="en-IN"/>
        </w:rPr>
        <w:t xml:space="preserve">2 </w:t>
      </w:r>
      <w:r w:rsidRPr="007D5E4A">
        <w:rPr>
          <w:lang w:eastAsia="en-IN"/>
        </w:rPr>
        <w:t xml:space="preserve">+ </w:t>
      </w:r>
      <w:r w:rsidRPr="007D5E4A">
        <w:rPr>
          <w:rFonts w:ascii="Cambria Math" w:hAnsi="Cambria Math" w:cs="Cambria Math"/>
          <w:lang w:eastAsia="en-IN"/>
        </w:rPr>
        <w:t>⋯</w:t>
      </w:r>
      <w:r w:rsidRPr="007D5E4A">
        <w:rPr>
          <w:lang w:eastAsia="en-IN"/>
        </w:rPr>
        <w:t xml:space="preserve"> + a</w:t>
      </w:r>
      <w:r w:rsidRPr="007D5E4A">
        <w:rPr>
          <w:vertAlign w:val="subscript"/>
          <w:lang w:eastAsia="en-IN"/>
        </w:rPr>
        <w:t>2n</w:t>
      </w:r>
      <w:r w:rsidRPr="007D5E4A">
        <w:rPr>
          <w:lang w:eastAsia="en-IN"/>
        </w:rPr>
        <w:t>X</w:t>
      </w:r>
      <w:r w:rsidRPr="007D5E4A">
        <w:rPr>
          <w:vertAlign w:val="subscript"/>
          <w:lang w:eastAsia="en-IN"/>
        </w:rPr>
        <w:t>n</w:t>
      </w:r>
    </w:p>
    <w:p w14:paraId="0C4E8ADB" w14:textId="77777777" w:rsidR="007D5E4A" w:rsidRPr="007D5E4A" w:rsidRDefault="007D5E4A" w:rsidP="00DD0B52">
      <w:pPr>
        <w:jc w:val="center"/>
        <w:rPr>
          <w:lang w:eastAsia="en-IN"/>
        </w:rPr>
      </w:pPr>
    </w:p>
    <w:p w14:paraId="3C31999F" w14:textId="77777777" w:rsidR="007D5E4A" w:rsidRPr="007D5E4A" w:rsidRDefault="007D5E4A" w:rsidP="00DD0B52">
      <w:pPr>
        <w:jc w:val="center"/>
        <w:rPr>
          <w:lang w:eastAsia="en-IN"/>
        </w:rPr>
      </w:pPr>
      <w:r w:rsidRPr="007D5E4A">
        <w:rPr>
          <w:lang w:eastAsia="en-IN"/>
        </w:rPr>
        <w:t>Zn = a</w:t>
      </w:r>
      <w:r w:rsidRPr="007D5E4A">
        <w:rPr>
          <w:vertAlign w:val="subscript"/>
          <w:lang w:eastAsia="en-IN"/>
        </w:rPr>
        <w:t>n</w:t>
      </w:r>
      <w:r w:rsidRPr="007D5E4A">
        <w:rPr>
          <w:rFonts w:ascii="Cambria Math" w:hAnsi="Cambria Math" w:cs="Cambria Math"/>
          <w:lang w:eastAsia="en-IN"/>
        </w:rPr>
        <w:t>⋅</w:t>
      </w:r>
      <w:r w:rsidRPr="007D5E4A">
        <w:rPr>
          <w:lang w:eastAsia="en-IN"/>
        </w:rPr>
        <w:t>X = a</w:t>
      </w:r>
      <w:r w:rsidRPr="007D5E4A">
        <w:rPr>
          <w:vertAlign w:val="subscript"/>
          <w:lang w:eastAsia="en-IN"/>
        </w:rPr>
        <w:t>n1</w:t>
      </w:r>
      <w:r w:rsidRPr="007D5E4A">
        <w:rPr>
          <w:lang w:eastAsia="en-IN"/>
        </w:rPr>
        <w:t>X</w:t>
      </w:r>
      <w:r w:rsidRPr="007D5E4A">
        <w:rPr>
          <w:vertAlign w:val="subscript"/>
          <w:lang w:eastAsia="en-IN"/>
        </w:rPr>
        <w:t xml:space="preserve">1 </w:t>
      </w:r>
      <w:r w:rsidRPr="007D5E4A">
        <w:rPr>
          <w:lang w:eastAsia="en-IN"/>
        </w:rPr>
        <w:t>+ a</w:t>
      </w:r>
      <w:r w:rsidRPr="007D5E4A">
        <w:rPr>
          <w:vertAlign w:val="subscript"/>
          <w:lang w:eastAsia="en-IN"/>
        </w:rPr>
        <w:t>n2</w:t>
      </w:r>
      <w:r w:rsidRPr="007D5E4A">
        <w:rPr>
          <w:lang w:eastAsia="en-IN"/>
        </w:rPr>
        <w:t>X</w:t>
      </w:r>
      <w:r w:rsidRPr="007D5E4A">
        <w:rPr>
          <w:vertAlign w:val="subscript"/>
          <w:lang w:eastAsia="en-IN"/>
        </w:rPr>
        <w:t xml:space="preserve">2 </w:t>
      </w:r>
      <w:r w:rsidRPr="007D5E4A">
        <w:rPr>
          <w:lang w:eastAsia="en-IN"/>
        </w:rPr>
        <w:t xml:space="preserve">+ </w:t>
      </w:r>
      <w:r w:rsidRPr="007D5E4A">
        <w:rPr>
          <w:rFonts w:ascii="Cambria Math" w:hAnsi="Cambria Math" w:cs="Cambria Math"/>
          <w:lang w:eastAsia="en-IN"/>
        </w:rPr>
        <w:t>⋯</w:t>
      </w:r>
      <w:r w:rsidRPr="007D5E4A">
        <w:rPr>
          <w:lang w:eastAsia="en-IN"/>
        </w:rPr>
        <w:t xml:space="preserve"> + a</w:t>
      </w:r>
      <w:r w:rsidRPr="007D5E4A">
        <w:rPr>
          <w:vertAlign w:val="subscript"/>
          <w:lang w:eastAsia="en-IN"/>
        </w:rPr>
        <w:t>nn</w:t>
      </w:r>
      <w:r w:rsidRPr="007D5E4A">
        <w:rPr>
          <w:lang w:eastAsia="en-IN"/>
        </w:rPr>
        <w:t>X</w:t>
      </w:r>
      <w:r w:rsidRPr="007D5E4A">
        <w:rPr>
          <w:vertAlign w:val="subscript"/>
          <w:lang w:eastAsia="en-IN"/>
        </w:rPr>
        <w:t>n</w:t>
      </w:r>
    </w:p>
    <w:p w14:paraId="55DF4D17" w14:textId="77777777" w:rsidR="007D5E4A" w:rsidRPr="007D5E4A" w:rsidRDefault="007D5E4A" w:rsidP="00DD0B52">
      <w:pPr>
        <w:spacing w:before="100" w:beforeAutospacing="1" w:after="100" w:afterAutospacing="1"/>
        <w:rPr>
          <w:lang w:eastAsia="en-IN"/>
        </w:rPr>
      </w:pPr>
      <w:r w:rsidRPr="007D5E4A">
        <w:rPr>
          <w:lang w:eastAsia="en-IN"/>
        </w:rPr>
        <w:t>Here, X</w:t>
      </w:r>
      <w:r w:rsidRPr="007D5E4A">
        <w:rPr>
          <w:vertAlign w:val="subscript"/>
          <w:lang w:eastAsia="en-IN"/>
        </w:rPr>
        <w:t>i</w:t>
      </w:r>
      <w:r w:rsidRPr="007D5E4A">
        <w:rPr>
          <w:lang w:eastAsia="en-IN"/>
        </w:rPr>
        <w:t xml:space="preserve"> ​ represents the original variables, Z</w:t>
      </w:r>
      <w:r w:rsidRPr="007D5E4A">
        <w:rPr>
          <w:vertAlign w:val="subscript"/>
          <w:lang w:eastAsia="en-IN"/>
        </w:rPr>
        <w:t>i</w:t>
      </w:r>
      <w:r w:rsidRPr="007D5E4A">
        <w:rPr>
          <w:lang w:eastAsia="en-IN"/>
        </w:rPr>
        <w:t>​ denotes the principal components, and a</w:t>
      </w:r>
      <w:r w:rsidRPr="007D5E4A">
        <w:rPr>
          <w:vertAlign w:val="subscript"/>
          <w:lang w:eastAsia="en-IN"/>
        </w:rPr>
        <w:t>i</w:t>
      </w:r>
      <w:r w:rsidRPr="007D5E4A">
        <w:rPr>
          <w:lang w:eastAsia="en-IN"/>
        </w:rPr>
        <w:t xml:space="preserve"> ​is the coefficient vector. These coefficients are derived to maximize Var(Z</w:t>
      </w:r>
      <w:r w:rsidRPr="007D5E4A">
        <w:rPr>
          <w:vertAlign w:val="subscript"/>
          <w:lang w:eastAsia="en-IN"/>
        </w:rPr>
        <w:t>i</w:t>
      </w:r>
      <w:r w:rsidRPr="007D5E4A">
        <w:rPr>
          <w:lang w:eastAsia="en-IN"/>
        </w:rPr>
        <w:t>) under the constraint a</w:t>
      </w:r>
      <w:r w:rsidRPr="007D5E4A">
        <w:rPr>
          <w:vertAlign w:val="subscript"/>
          <w:lang w:eastAsia="en-IN"/>
        </w:rPr>
        <w:t>i</w:t>
      </w:r>
      <w:r w:rsidRPr="007D5E4A">
        <w:rPr>
          <w:vertAlign w:val="superscript"/>
          <w:lang w:eastAsia="en-IN"/>
        </w:rPr>
        <w:t>T</w:t>
      </w:r>
      <w:r w:rsidRPr="007D5E4A">
        <w:rPr>
          <w:lang w:eastAsia="en-IN"/>
        </w:rPr>
        <w:t>a</w:t>
      </w:r>
      <w:r w:rsidRPr="007D5E4A">
        <w:rPr>
          <w:vertAlign w:val="subscript"/>
          <w:lang w:eastAsia="en-IN"/>
        </w:rPr>
        <w:t xml:space="preserve">i </w:t>
      </w:r>
      <w:r w:rsidRPr="007D5E4A">
        <w:rPr>
          <w:lang w:eastAsia="en-IN"/>
        </w:rPr>
        <w:t>= 1, ensuring the components remain uncorrelated, cov(Z</w:t>
      </w:r>
      <w:r w:rsidRPr="007D5E4A">
        <w:rPr>
          <w:vertAlign w:val="subscript"/>
          <w:lang w:eastAsia="en-IN"/>
        </w:rPr>
        <w:t>i</w:t>
      </w:r>
      <w:r w:rsidRPr="007D5E4A">
        <w:rPr>
          <w:lang w:eastAsia="en-IN"/>
        </w:rPr>
        <w:t>, Z</w:t>
      </w:r>
      <w:r w:rsidRPr="007D5E4A">
        <w:rPr>
          <w:vertAlign w:val="subscript"/>
          <w:lang w:eastAsia="en-IN"/>
        </w:rPr>
        <w:t>j</w:t>
      </w:r>
      <w:r w:rsidRPr="007D5E4A">
        <w:rPr>
          <w:lang w:eastAsia="en-IN"/>
        </w:rPr>
        <w:t>) = 0 for j = 1, 2, 3,…, i−1.</w:t>
      </w:r>
    </w:p>
    <w:p w14:paraId="729D4D82" w14:textId="77777777" w:rsidR="007D5E4A" w:rsidRPr="007D5E4A" w:rsidRDefault="007D5E4A" w:rsidP="00DD0B52">
      <w:pPr>
        <w:spacing w:before="100" w:beforeAutospacing="1" w:after="100" w:afterAutospacing="1"/>
        <w:rPr>
          <w:lang w:eastAsia="en-IN"/>
        </w:rPr>
      </w:pPr>
      <w:r w:rsidRPr="007D5E4A">
        <w:rPr>
          <w:lang w:eastAsia="en-IN"/>
        </w:rPr>
        <w:t>The covariance matrix Σ of X, which is symmetric and nonnegative definite, features eigenvalues λ</w:t>
      </w:r>
      <w:r w:rsidRPr="007D5E4A">
        <w:rPr>
          <w:vertAlign w:val="subscript"/>
          <w:lang w:eastAsia="en-IN"/>
        </w:rPr>
        <w:t>1</w:t>
      </w:r>
      <w:r w:rsidRPr="007D5E4A">
        <w:rPr>
          <w:lang w:eastAsia="en-IN"/>
        </w:rPr>
        <w:t>, λ</w:t>
      </w:r>
      <w:r w:rsidRPr="007D5E4A">
        <w:rPr>
          <w:vertAlign w:val="subscript"/>
          <w:lang w:eastAsia="en-IN"/>
        </w:rPr>
        <w:t>2</w:t>
      </w:r>
      <w:r w:rsidRPr="007D5E4A">
        <w:rPr>
          <w:lang w:eastAsia="en-IN"/>
        </w:rPr>
        <w:t>, …, λ</w:t>
      </w:r>
      <w:r w:rsidRPr="007D5E4A">
        <w:rPr>
          <w:vertAlign w:val="subscript"/>
          <w:lang w:eastAsia="en-IN"/>
        </w:rPr>
        <w:t>n</w:t>
      </w:r>
      <w:r w:rsidRPr="007D5E4A">
        <w:rPr>
          <w:lang w:eastAsia="en-IN"/>
        </w:rPr>
        <w:t>​ and corresponding eigenvectors e</w:t>
      </w:r>
      <w:r w:rsidRPr="007D5E4A">
        <w:rPr>
          <w:vertAlign w:val="subscript"/>
          <w:lang w:eastAsia="en-IN"/>
        </w:rPr>
        <w:t>1</w:t>
      </w:r>
      <w:r w:rsidRPr="007D5E4A">
        <w:rPr>
          <w:lang w:eastAsia="en-IN"/>
        </w:rPr>
        <w:t>, e</w:t>
      </w:r>
      <w:r w:rsidRPr="007D5E4A">
        <w:rPr>
          <w:vertAlign w:val="subscript"/>
          <w:lang w:eastAsia="en-IN"/>
        </w:rPr>
        <w:t>2</w:t>
      </w:r>
      <w:r w:rsidRPr="007D5E4A">
        <w:rPr>
          <w:lang w:eastAsia="en-IN"/>
        </w:rPr>
        <w:t>, …, e</w:t>
      </w:r>
      <w:r w:rsidRPr="007D5E4A">
        <w:rPr>
          <w:vertAlign w:val="subscript"/>
          <w:lang w:eastAsia="en-IN"/>
        </w:rPr>
        <w:t>n</w:t>
      </w:r>
      <w:r w:rsidRPr="007D5E4A">
        <w:rPr>
          <w:lang w:eastAsia="en-IN"/>
        </w:rPr>
        <w:t>. Using Lagrange multipliers, we maximize variance while meeting constraints, obtaining the coefficient vector a</w:t>
      </w:r>
      <w:r w:rsidRPr="007D5E4A">
        <w:rPr>
          <w:vertAlign w:val="subscript"/>
          <w:lang w:eastAsia="en-IN"/>
        </w:rPr>
        <w:t xml:space="preserve">i </w:t>
      </w:r>
      <w:r w:rsidRPr="007D5E4A">
        <w:rPr>
          <w:lang w:eastAsia="en-IN"/>
        </w:rPr>
        <w:t>that defines each principal component.</w:t>
      </w:r>
    </w:p>
    <w:p w14:paraId="17B3727C" w14:textId="77777777" w:rsidR="007D5E4A" w:rsidRPr="007D5E4A" w:rsidRDefault="007D5E4A" w:rsidP="00DD0B52">
      <w:pPr>
        <w:spacing w:before="100" w:beforeAutospacing="1" w:after="100" w:afterAutospacing="1"/>
        <w:rPr>
          <w:lang w:eastAsia="en-IN"/>
        </w:rPr>
      </w:pPr>
      <w:r w:rsidRPr="007D5E4A">
        <w:rPr>
          <w:lang w:eastAsia="en-IN"/>
        </w:rPr>
        <w:t xml:space="preserve">In the context of our analysis, the principal components reveal the interaction between key indicators like life expectancy, population, and fertility rate. The first principal component captures the most variance, primarily representing the inverse relationship between fertility </w:t>
      </w:r>
      <w:r w:rsidRPr="007D5E4A">
        <w:rPr>
          <w:lang w:eastAsia="en-IN"/>
        </w:rPr>
        <w:lastRenderedPageBreak/>
        <w:t>rate and life expectancy, with subsequent components highlighting other demographic patterns across countries. This reduction in dimensionality not only simplifies our model but also provides insight into the underlying structure of fertility and governance indicators across different regions.</w:t>
      </w:r>
    </w:p>
    <w:p w14:paraId="5A3BB512" w14:textId="77777777" w:rsidR="007D5E4A" w:rsidRPr="007D5E4A" w:rsidRDefault="008842AA" w:rsidP="00DD0B52">
      <w:r>
        <w:rPr>
          <w:b/>
          <w:bCs/>
        </w:rPr>
        <w:t>5</w:t>
      </w:r>
      <w:r w:rsidR="007D5E4A" w:rsidRPr="007D5E4A">
        <w:rPr>
          <w:b/>
          <w:bCs/>
        </w:rPr>
        <w:t>.3 Random Forest Regression</w:t>
      </w:r>
    </w:p>
    <w:p w14:paraId="3F9E4BF4" w14:textId="77777777" w:rsidR="00A5279F" w:rsidRPr="00A5279F" w:rsidRDefault="00A5279F" w:rsidP="00DD0B52">
      <w:r w:rsidRPr="00A5279F">
        <w:t xml:space="preserve">In our research, Random Forest Regression is utilized to evaluate the relative importance of various demographic and economic indicators influencing fertility rates. This ensemble model enhances predictive accuracy by aggregating the outcomes of multiple decision trees, thereby reducing variance and mitigating overfitting </w:t>
      </w:r>
      <w:hyperlink w:anchor="no3" w:history="1">
        <w:hyperlink w:anchor="no3" w:history="1">
          <w:r w:rsidR="007C37AF" w:rsidRPr="007C37AF">
            <w:rPr>
              <w:rStyle w:val="Hyperlink"/>
            </w:rPr>
            <w:t>[3]</w:t>
          </w:r>
        </w:hyperlink>
      </w:hyperlink>
      <w:hyperlink w:anchor="no7" w:history="1">
        <w:hyperlink w:anchor="no7" w:history="1">
          <w:r w:rsidR="00174047" w:rsidRPr="00174047">
            <w:rPr>
              <w:rStyle w:val="Hyperlink"/>
            </w:rPr>
            <w:t>[7]</w:t>
          </w:r>
        </w:hyperlink>
      </w:hyperlink>
      <w:r w:rsidRPr="00A5279F">
        <w:t>.</w:t>
      </w:r>
    </w:p>
    <w:p w14:paraId="36D4B65E" w14:textId="77777777" w:rsidR="00A5279F" w:rsidRDefault="00A5279F" w:rsidP="00DD0B52"/>
    <w:p w14:paraId="19650F1D" w14:textId="77777777" w:rsidR="00867021" w:rsidRPr="007D5E4A" w:rsidRDefault="00A5279F" w:rsidP="00DD0B52">
      <w:r w:rsidRPr="00A5279F">
        <w:t xml:space="preserve">The model achieved an R2R2 score of 0.43, indicating that the selected indicators explain approximately 43% of the variability in fertility rates. This suggests that demographic factors such as life expectancy, population growth, income levels, and economic indicators like GDP per capita play substantial roles in shaping fertility trends across regions. By capturing complex interactions among variables, the Random Forest model provides deeper insights into which factors most strongly predict fertility changes, allowing us to better understand the socioeconomic conditions that drive fertility rates globally </w:t>
      </w:r>
      <w:hyperlink w:anchor="no2" w:history="1">
        <w:hyperlink w:anchor="no2" w:history="1">
          <w:r w:rsidR="007C37AF" w:rsidRPr="007C37AF">
            <w:rPr>
              <w:rStyle w:val="Hyperlink"/>
            </w:rPr>
            <w:t>[2]</w:t>
          </w:r>
        </w:hyperlink>
      </w:hyperlink>
      <w:r w:rsidRPr="00A5279F">
        <w:t>.</w:t>
      </w:r>
    </w:p>
    <w:p w14:paraId="550192A4" w14:textId="77777777" w:rsidR="00867021" w:rsidRPr="007D5E4A" w:rsidRDefault="00867021" w:rsidP="00DD0B52">
      <w:pPr>
        <w:rPr>
          <w:b/>
          <w:bCs/>
        </w:rPr>
      </w:pPr>
    </w:p>
    <w:p w14:paraId="386385E1" w14:textId="77777777" w:rsidR="00EA69C6" w:rsidRPr="007D5E4A" w:rsidRDefault="00EA69C6" w:rsidP="00DD0B52"/>
    <w:p w14:paraId="5D13DC95" w14:textId="77777777" w:rsidR="00CF3F26" w:rsidRDefault="008842AA" w:rsidP="00DD0B52">
      <w:pPr>
        <w:rPr>
          <w:b/>
          <w:bCs/>
        </w:rPr>
      </w:pPr>
      <w:r>
        <w:rPr>
          <w:b/>
          <w:bCs/>
        </w:rPr>
        <w:t>6</w:t>
      </w:r>
      <w:r w:rsidR="00CF3F26" w:rsidRPr="00780F88">
        <w:rPr>
          <w:b/>
          <w:bCs/>
        </w:rPr>
        <w:t xml:space="preserve"> Empirical </w:t>
      </w:r>
      <w:r>
        <w:rPr>
          <w:b/>
          <w:bCs/>
        </w:rPr>
        <w:t>Observations</w:t>
      </w:r>
    </w:p>
    <w:p w14:paraId="5E0223C8" w14:textId="77777777" w:rsidR="00DD0B52" w:rsidRPr="007D5E4A" w:rsidRDefault="00DD0B52" w:rsidP="00DD0B52">
      <w:pPr>
        <w:rPr>
          <w:b/>
          <w:bCs/>
        </w:rPr>
      </w:pPr>
    </w:p>
    <w:p w14:paraId="13239FD4" w14:textId="77777777" w:rsidR="00CF3F26" w:rsidRPr="007D5E4A" w:rsidRDefault="00CF3F26" w:rsidP="00DD0B52">
      <w:r w:rsidRPr="007D5E4A">
        <w:t>The analysis reveals a significant negative relationship between life expectancy and fertility rates, particularly in high-income countries. The economic indicator was found to be negatively correlated with fertility rates, indicating that economic development generally associates with declining fertility. In terms of income levels, lower-income countries still experience higher fertility rates.</w:t>
      </w:r>
    </w:p>
    <w:p w14:paraId="58B73845" w14:textId="77777777" w:rsidR="008842AA" w:rsidRPr="007D5E4A" w:rsidRDefault="008842AA" w:rsidP="00DD0B52">
      <w:pPr>
        <w:rPr>
          <w:b/>
          <w:bCs/>
        </w:rPr>
      </w:pPr>
    </w:p>
    <w:p w14:paraId="07F68803" w14:textId="77777777" w:rsidR="00CF3F26" w:rsidRPr="007D5E4A" w:rsidRDefault="008842AA" w:rsidP="00DD0B52">
      <w:pPr>
        <w:rPr>
          <w:b/>
          <w:bCs/>
        </w:rPr>
      </w:pPr>
      <w:r>
        <w:rPr>
          <w:b/>
          <w:bCs/>
        </w:rPr>
        <w:t>6</w:t>
      </w:r>
      <w:r w:rsidR="00CF3F26" w:rsidRPr="007D5E4A">
        <w:rPr>
          <w:b/>
          <w:bCs/>
        </w:rPr>
        <w:t xml:space="preserve">.1. Random Forest Regression </w:t>
      </w:r>
    </w:p>
    <w:p w14:paraId="17CC7F82" w14:textId="77777777" w:rsidR="00CB2EB7" w:rsidRPr="007D5E4A" w:rsidRDefault="00CB2EB7" w:rsidP="00DD0B52"/>
    <w:p w14:paraId="1B445C58" w14:textId="77777777" w:rsidR="00CF3F26" w:rsidRDefault="00CF3F26" w:rsidP="00DD0B52">
      <w:r w:rsidRPr="007D5E4A">
        <w:t>The random forest model showed that economic indicators and life expectancy are substantial predictors of fertility rates. The model achieved an R-squared of 0.43, suggesting a strong explanatory power for fertility variations.</w:t>
      </w:r>
    </w:p>
    <w:p w14:paraId="7DB1E50B" w14:textId="77777777" w:rsidR="00991955" w:rsidRPr="007D5E4A" w:rsidRDefault="00991955" w:rsidP="00DD0B52"/>
    <w:p w14:paraId="2CACE55D" w14:textId="77777777" w:rsidR="00CB2EB7" w:rsidRPr="007D5E4A" w:rsidRDefault="00CB2EB7" w:rsidP="00DD0B52">
      <w:pPr>
        <w:rPr>
          <w:b/>
          <w:bCs/>
        </w:rPr>
      </w:pPr>
    </w:p>
    <w:p w14:paraId="7FE7D8C1" w14:textId="77777777" w:rsidR="00CF3F26" w:rsidRPr="007D5E4A" w:rsidRDefault="001E33AA" w:rsidP="00DD0B52">
      <w:pPr>
        <w:rPr>
          <w:b/>
          <w:bCs/>
        </w:rPr>
      </w:pPr>
      <w:r>
        <w:rPr>
          <w:b/>
          <w:bCs/>
        </w:rPr>
        <w:t>6</w:t>
      </w:r>
      <w:r w:rsidR="00CF3F26" w:rsidRPr="007D5E4A">
        <w:rPr>
          <w:b/>
          <w:bCs/>
        </w:rPr>
        <w:t>.2. Panel Data Analysis</w:t>
      </w:r>
    </w:p>
    <w:p w14:paraId="7C735840" w14:textId="77777777" w:rsidR="00CB2EB7" w:rsidRPr="007D5E4A" w:rsidRDefault="00CB2EB7" w:rsidP="00DD0B52"/>
    <w:p w14:paraId="700D7E11" w14:textId="77777777" w:rsidR="00CF3F26" w:rsidRPr="007D5E4A" w:rsidRDefault="00CF3F26" w:rsidP="00DD0B52">
      <w:r w:rsidRPr="007D5E4A">
        <w:t>The fixed effects model indicated that fertility rates significantly impact economic indicators. The Hausman Test results (Chi2 = 110.17, p &lt; 0.05) suggested that the fixed effects model is appropriate, supporting the hypothesis that fertility rates and economic development are interlinked.</w:t>
      </w:r>
    </w:p>
    <w:p w14:paraId="50AA44E4" w14:textId="77777777" w:rsidR="001E33AA" w:rsidRDefault="001E33AA" w:rsidP="00DD0B52">
      <w:pPr>
        <w:rPr>
          <w:b/>
          <w:bCs/>
        </w:rPr>
      </w:pPr>
    </w:p>
    <w:p w14:paraId="2F21BC44" w14:textId="77777777" w:rsidR="001E33AA" w:rsidRDefault="001E33AA" w:rsidP="00DD0B52">
      <w:pPr>
        <w:rPr>
          <w:b/>
          <w:bCs/>
        </w:rPr>
      </w:pPr>
    </w:p>
    <w:p w14:paraId="3C404396" w14:textId="77777777" w:rsidR="001E33AA" w:rsidRPr="007D5E4A" w:rsidRDefault="001E33AA" w:rsidP="00DD0B52">
      <w:pPr>
        <w:rPr>
          <w:b/>
          <w:bCs/>
        </w:rPr>
      </w:pPr>
    </w:p>
    <w:p w14:paraId="086DA4E4" w14:textId="77777777" w:rsidR="00CF3F26" w:rsidRPr="007D5E4A" w:rsidRDefault="001E33AA" w:rsidP="00DD0B52">
      <w:r>
        <w:rPr>
          <w:b/>
          <w:bCs/>
        </w:rPr>
        <w:t>6</w:t>
      </w:r>
      <w:r w:rsidR="00CF3F26" w:rsidRPr="007D5E4A">
        <w:rPr>
          <w:b/>
          <w:bCs/>
        </w:rPr>
        <w:t>.2.1 Impact of Fertility Rates on Economic Development</w:t>
      </w:r>
    </w:p>
    <w:p w14:paraId="715B78AC" w14:textId="77777777" w:rsidR="00CF3F26" w:rsidRDefault="00CF3F26" w:rsidP="00DD0B52"/>
    <w:tbl>
      <w:tblPr>
        <w:tblpPr w:leftFromText="180" w:rightFromText="180" w:vertAnchor="text" w:horzAnchor="margin" w:tblpXSpec="right" w:tblpY="-12216"/>
        <w:tblW w:w="4653" w:type="dxa"/>
        <w:tblLook w:val="04A0" w:firstRow="1" w:lastRow="0" w:firstColumn="1" w:lastColumn="0" w:noHBand="0" w:noVBand="1"/>
      </w:tblPr>
      <w:tblGrid>
        <w:gridCol w:w="2851"/>
        <w:gridCol w:w="1802"/>
      </w:tblGrid>
      <w:tr w:rsidR="00E60FCE" w14:paraId="74E6E83A" w14:textId="77777777" w:rsidTr="00B77462">
        <w:trPr>
          <w:trHeight w:val="371"/>
        </w:trPr>
        <w:tc>
          <w:tcPr>
            <w:tcW w:w="0" w:type="auto"/>
            <w:tcBorders>
              <w:top w:val="single" w:sz="4" w:space="0" w:color="auto"/>
              <w:bottom w:val="single" w:sz="4" w:space="0" w:color="auto"/>
            </w:tcBorders>
            <w:hideMark/>
          </w:tcPr>
          <w:p w14:paraId="322A6D7A" w14:textId="77777777" w:rsidR="00B77462" w:rsidRDefault="00B77462" w:rsidP="00B77462">
            <w:pPr>
              <w:rPr>
                <w:rStyle w:val="Strong"/>
                <w:sz w:val="22"/>
                <w:szCs w:val="22"/>
              </w:rPr>
            </w:pPr>
          </w:p>
          <w:p w14:paraId="1CEF08CD" w14:textId="77777777" w:rsidR="00B77462" w:rsidRDefault="00B77462" w:rsidP="00B77462">
            <w:pPr>
              <w:rPr>
                <w:rStyle w:val="Strong"/>
              </w:rPr>
            </w:pPr>
          </w:p>
          <w:p w14:paraId="184E1656" w14:textId="77777777" w:rsidR="00B77462" w:rsidRDefault="00B77462" w:rsidP="00B77462">
            <w:pPr>
              <w:rPr>
                <w:rStyle w:val="Strong"/>
              </w:rPr>
            </w:pPr>
          </w:p>
          <w:p w14:paraId="64DACD4C" w14:textId="77777777" w:rsidR="00B77462" w:rsidRDefault="00B77462" w:rsidP="00B77462">
            <w:pPr>
              <w:rPr>
                <w:rStyle w:val="Strong"/>
              </w:rPr>
            </w:pPr>
          </w:p>
          <w:p w14:paraId="0F26A4EF" w14:textId="77777777" w:rsidR="00E60FCE" w:rsidRDefault="00E60FCE" w:rsidP="00B77462">
            <w:pPr>
              <w:rPr>
                <w:rStyle w:val="Strong"/>
                <w:sz w:val="22"/>
                <w:szCs w:val="22"/>
              </w:rPr>
            </w:pPr>
            <w:r w:rsidRPr="00E60FCE">
              <w:rPr>
                <w:rStyle w:val="Strong"/>
                <w:sz w:val="22"/>
                <w:szCs w:val="22"/>
              </w:rPr>
              <w:t>Dep. Variable:</w:t>
            </w:r>
          </w:p>
          <w:p w14:paraId="5D314103" w14:textId="06BB91F3" w:rsidR="00B77462" w:rsidRPr="00E60FCE" w:rsidRDefault="00B77462" w:rsidP="00B77462">
            <w:pPr>
              <w:rPr>
                <w:sz w:val="22"/>
                <w:szCs w:val="22"/>
              </w:rPr>
            </w:pPr>
          </w:p>
        </w:tc>
        <w:tc>
          <w:tcPr>
            <w:tcW w:w="0" w:type="auto"/>
            <w:tcBorders>
              <w:top w:val="single" w:sz="4" w:space="0" w:color="auto"/>
              <w:bottom w:val="single" w:sz="4" w:space="0" w:color="auto"/>
            </w:tcBorders>
            <w:hideMark/>
          </w:tcPr>
          <w:p w14:paraId="773F7934" w14:textId="77777777" w:rsidR="00B77462" w:rsidRDefault="00B77462" w:rsidP="00B77462">
            <w:pPr>
              <w:rPr>
                <w:sz w:val="22"/>
                <w:szCs w:val="22"/>
              </w:rPr>
            </w:pPr>
          </w:p>
          <w:p w14:paraId="49A96489" w14:textId="77777777" w:rsidR="00B77462" w:rsidRDefault="00B77462" w:rsidP="00B77462">
            <w:pPr>
              <w:rPr>
                <w:sz w:val="22"/>
                <w:szCs w:val="22"/>
              </w:rPr>
            </w:pPr>
          </w:p>
          <w:p w14:paraId="6B2A9718" w14:textId="77777777" w:rsidR="00B77462" w:rsidRDefault="00B77462" w:rsidP="00B77462">
            <w:pPr>
              <w:rPr>
                <w:sz w:val="22"/>
                <w:szCs w:val="22"/>
              </w:rPr>
            </w:pPr>
          </w:p>
          <w:p w14:paraId="208BA8D9" w14:textId="77777777" w:rsidR="00B77462" w:rsidRDefault="00B77462" w:rsidP="00B77462">
            <w:pPr>
              <w:rPr>
                <w:sz w:val="22"/>
                <w:szCs w:val="22"/>
              </w:rPr>
            </w:pPr>
          </w:p>
          <w:p w14:paraId="45980AE6" w14:textId="5BF35188" w:rsidR="00E60FCE" w:rsidRPr="00E60FCE" w:rsidRDefault="00E60FCE" w:rsidP="00B77462">
            <w:pPr>
              <w:rPr>
                <w:sz w:val="22"/>
                <w:szCs w:val="22"/>
              </w:rPr>
            </w:pPr>
            <w:r w:rsidRPr="00E60FCE">
              <w:rPr>
                <w:sz w:val="22"/>
                <w:szCs w:val="22"/>
              </w:rPr>
              <w:t>Fertility_Rate</w:t>
            </w:r>
          </w:p>
        </w:tc>
      </w:tr>
      <w:tr w:rsidR="00E60FCE" w14:paraId="79AE163A" w14:textId="77777777" w:rsidTr="00B77462">
        <w:trPr>
          <w:trHeight w:val="371"/>
        </w:trPr>
        <w:tc>
          <w:tcPr>
            <w:tcW w:w="0" w:type="auto"/>
            <w:hideMark/>
          </w:tcPr>
          <w:p w14:paraId="5967EEA2" w14:textId="5A543D8A" w:rsidR="00E60FCE" w:rsidRPr="00E60FCE" w:rsidRDefault="00E60FCE" w:rsidP="00B77462">
            <w:pPr>
              <w:rPr>
                <w:sz w:val="22"/>
                <w:szCs w:val="22"/>
              </w:rPr>
            </w:pPr>
            <w:r w:rsidRPr="00E60FCE">
              <w:rPr>
                <w:rStyle w:val="Strong"/>
                <w:sz w:val="22"/>
                <w:szCs w:val="22"/>
              </w:rPr>
              <w:t>No. Observations:</w:t>
            </w:r>
          </w:p>
        </w:tc>
        <w:tc>
          <w:tcPr>
            <w:tcW w:w="0" w:type="auto"/>
            <w:hideMark/>
          </w:tcPr>
          <w:p w14:paraId="033A968B" w14:textId="77777777" w:rsidR="00E60FCE" w:rsidRPr="00E60FCE" w:rsidRDefault="00E60FCE" w:rsidP="00B77462">
            <w:pPr>
              <w:rPr>
                <w:sz w:val="22"/>
                <w:szCs w:val="22"/>
              </w:rPr>
            </w:pPr>
            <w:r w:rsidRPr="00E60FCE">
              <w:rPr>
                <w:sz w:val="22"/>
                <w:szCs w:val="22"/>
              </w:rPr>
              <w:t>410</w:t>
            </w:r>
          </w:p>
        </w:tc>
      </w:tr>
      <w:tr w:rsidR="00E60FCE" w14:paraId="129B55C4" w14:textId="77777777" w:rsidTr="00B77462">
        <w:trPr>
          <w:trHeight w:val="385"/>
        </w:trPr>
        <w:tc>
          <w:tcPr>
            <w:tcW w:w="0" w:type="auto"/>
            <w:hideMark/>
          </w:tcPr>
          <w:p w14:paraId="2697B712" w14:textId="77777777" w:rsidR="00E60FCE" w:rsidRPr="00E60FCE" w:rsidRDefault="00E60FCE" w:rsidP="00B77462">
            <w:pPr>
              <w:rPr>
                <w:sz w:val="22"/>
                <w:szCs w:val="22"/>
              </w:rPr>
            </w:pPr>
            <w:r w:rsidRPr="00E60FCE">
              <w:rPr>
                <w:rStyle w:val="Strong"/>
                <w:sz w:val="22"/>
                <w:szCs w:val="22"/>
              </w:rPr>
              <w:t>Cov. Estimator:</w:t>
            </w:r>
          </w:p>
        </w:tc>
        <w:tc>
          <w:tcPr>
            <w:tcW w:w="0" w:type="auto"/>
            <w:hideMark/>
          </w:tcPr>
          <w:p w14:paraId="2556EBA8" w14:textId="77777777" w:rsidR="00E60FCE" w:rsidRPr="00E60FCE" w:rsidRDefault="00E60FCE" w:rsidP="00B77462">
            <w:pPr>
              <w:rPr>
                <w:sz w:val="22"/>
                <w:szCs w:val="22"/>
              </w:rPr>
            </w:pPr>
            <w:r w:rsidRPr="00E60FCE">
              <w:rPr>
                <w:sz w:val="22"/>
                <w:szCs w:val="22"/>
              </w:rPr>
              <w:t>Unadjusted</w:t>
            </w:r>
          </w:p>
        </w:tc>
      </w:tr>
      <w:tr w:rsidR="00E60FCE" w14:paraId="40821583" w14:textId="77777777" w:rsidTr="00B77462">
        <w:trPr>
          <w:trHeight w:val="371"/>
        </w:trPr>
        <w:tc>
          <w:tcPr>
            <w:tcW w:w="0" w:type="auto"/>
            <w:hideMark/>
          </w:tcPr>
          <w:p w14:paraId="6C35E97C" w14:textId="77777777" w:rsidR="00E60FCE" w:rsidRPr="00E60FCE" w:rsidRDefault="00E60FCE" w:rsidP="00B77462">
            <w:pPr>
              <w:rPr>
                <w:sz w:val="22"/>
                <w:szCs w:val="22"/>
              </w:rPr>
            </w:pPr>
            <w:r w:rsidRPr="00E60FCE">
              <w:rPr>
                <w:rStyle w:val="Strong"/>
                <w:sz w:val="22"/>
                <w:szCs w:val="22"/>
              </w:rPr>
              <w:t>R-squared:</w:t>
            </w:r>
          </w:p>
        </w:tc>
        <w:tc>
          <w:tcPr>
            <w:tcW w:w="0" w:type="auto"/>
            <w:hideMark/>
          </w:tcPr>
          <w:p w14:paraId="6B4B3D78" w14:textId="77777777" w:rsidR="00E60FCE" w:rsidRPr="00E60FCE" w:rsidRDefault="00E60FCE" w:rsidP="00B77462">
            <w:pPr>
              <w:rPr>
                <w:sz w:val="22"/>
                <w:szCs w:val="22"/>
              </w:rPr>
            </w:pPr>
            <w:r w:rsidRPr="00E60FCE">
              <w:rPr>
                <w:sz w:val="22"/>
                <w:szCs w:val="22"/>
              </w:rPr>
              <w:t>0.2435</w:t>
            </w:r>
          </w:p>
        </w:tc>
      </w:tr>
      <w:tr w:rsidR="00E60FCE" w14:paraId="7711D41C" w14:textId="77777777" w:rsidTr="00B77462">
        <w:trPr>
          <w:trHeight w:val="385"/>
        </w:trPr>
        <w:tc>
          <w:tcPr>
            <w:tcW w:w="0" w:type="auto"/>
            <w:hideMark/>
          </w:tcPr>
          <w:p w14:paraId="5980123D" w14:textId="77777777" w:rsidR="00E60FCE" w:rsidRPr="00E60FCE" w:rsidRDefault="00E60FCE" w:rsidP="00B77462">
            <w:pPr>
              <w:rPr>
                <w:sz w:val="22"/>
                <w:szCs w:val="22"/>
              </w:rPr>
            </w:pPr>
            <w:r w:rsidRPr="00E60FCE">
              <w:rPr>
                <w:rStyle w:val="Strong"/>
                <w:sz w:val="22"/>
                <w:szCs w:val="22"/>
              </w:rPr>
              <w:t>R-squared (Between):</w:t>
            </w:r>
          </w:p>
        </w:tc>
        <w:tc>
          <w:tcPr>
            <w:tcW w:w="0" w:type="auto"/>
            <w:hideMark/>
          </w:tcPr>
          <w:p w14:paraId="21488B39" w14:textId="77777777" w:rsidR="00E60FCE" w:rsidRPr="00E60FCE" w:rsidRDefault="00E60FCE" w:rsidP="00B77462">
            <w:pPr>
              <w:rPr>
                <w:sz w:val="22"/>
                <w:szCs w:val="22"/>
              </w:rPr>
            </w:pPr>
            <w:r w:rsidRPr="00E60FCE">
              <w:rPr>
                <w:sz w:val="22"/>
                <w:szCs w:val="22"/>
              </w:rPr>
              <w:t>0.4633</w:t>
            </w:r>
          </w:p>
        </w:tc>
      </w:tr>
      <w:tr w:rsidR="00E60FCE" w14:paraId="18478392" w14:textId="77777777" w:rsidTr="00B77462">
        <w:trPr>
          <w:trHeight w:val="371"/>
        </w:trPr>
        <w:tc>
          <w:tcPr>
            <w:tcW w:w="0" w:type="auto"/>
            <w:hideMark/>
          </w:tcPr>
          <w:p w14:paraId="02031E2D" w14:textId="77777777" w:rsidR="00E60FCE" w:rsidRPr="00E60FCE" w:rsidRDefault="00E60FCE" w:rsidP="00B77462">
            <w:pPr>
              <w:rPr>
                <w:sz w:val="22"/>
                <w:szCs w:val="22"/>
              </w:rPr>
            </w:pPr>
            <w:r w:rsidRPr="00E60FCE">
              <w:rPr>
                <w:rStyle w:val="Strong"/>
                <w:sz w:val="22"/>
                <w:szCs w:val="22"/>
              </w:rPr>
              <w:t>R-squared (Within):</w:t>
            </w:r>
          </w:p>
        </w:tc>
        <w:tc>
          <w:tcPr>
            <w:tcW w:w="0" w:type="auto"/>
            <w:hideMark/>
          </w:tcPr>
          <w:p w14:paraId="4CA95C52" w14:textId="77777777" w:rsidR="00E60FCE" w:rsidRPr="00E60FCE" w:rsidRDefault="00E60FCE" w:rsidP="00B77462">
            <w:pPr>
              <w:rPr>
                <w:sz w:val="22"/>
                <w:szCs w:val="22"/>
              </w:rPr>
            </w:pPr>
            <w:r w:rsidRPr="00E60FCE">
              <w:rPr>
                <w:sz w:val="22"/>
                <w:szCs w:val="22"/>
              </w:rPr>
              <w:t>0.2435</w:t>
            </w:r>
          </w:p>
        </w:tc>
      </w:tr>
      <w:tr w:rsidR="00E60FCE" w14:paraId="50EE5D88" w14:textId="77777777" w:rsidTr="00B77462">
        <w:trPr>
          <w:trHeight w:val="385"/>
        </w:trPr>
        <w:tc>
          <w:tcPr>
            <w:tcW w:w="0" w:type="auto"/>
            <w:hideMark/>
          </w:tcPr>
          <w:p w14:paraId="0A8F30FD" w14:textId="77777777" w:rsidR="00E60FCE" w:rsidRPr="00E60FCE" w:rsidRDefault="00E60FCE" w:rsidP="00B77462">
            <w:pPr>
              <w:rPr>
                <w:sz w:val="22"/>
                <w:szCs w:val="22"/>
              </w:rPr>
            </w:pPr>
            <w:r w:rsidRPr="00E60FCE">
              <w:rPr>
                <w:rStyle w:val="Strong"/>
                <w:sz w:val="22"/>
                <w:szCs w:val="22"/>
              </w:rPr>
              <w:t>R-squared (Overall):</w:t>
            </w:r>
          </w:p>
        </w:tc>
        <w:tc>
          <w:tcPr>
            <w:tcW w:w="0" w:type="auto"/>
            <w:hideMark/>
          </w:tcPr>
          <w:p w14:paraId="32570F2F" w14:textId="77777777" w:rsidR="00E60FCE" w:rsidRPr="00E60FCE" w:rsidRDefault="00E60FCE" w:rsidP="00B77462">
            <w:pPr>
              <w:rPr>
                <w:sz w:val="22"/>
                <w:szCs w:val="22"/>
              </w:rPr>
            </w:pPr>
            <w:r w:rsidRPr="00E60FCE">
              <w:rPr>
                <w:sz w:val="22"/>
                <w:szCs w:val="22"/>
              </w:rPr>
              <w:t>0.4613</w:t>
            </w:r>
          </w:p>
        </w:tc>
      </w:tr>
      <w:tr w:rsidR="00E60FCE" w14:paraId="04BD4262" w14:textId="77777777" w:rsidTr="00B77462">
        <w:trPr>
          <w:trHeight w:val="371"/>
        </w:trPr>
        <w:tc>
          <w:tcPr>
            <w:tcW w:w="0" w:type="auto"/>
            <w:hideMark/>
          </w:tcPr>
          <w:p w14:paraId="638713FA" w14:textId="77777777" w:rsidR="00E60FCE" w:rsidRPr="00E60FCE" w:rsidRDefault="00E60FCE" w:rsidP="00B77462">
            <w:pPr>
              <w:rPr>
                <w:sz w:val="22"/>
                <w:szCs w:val="22"/>
              </w:rPr>
            </w:pPr>
            <w:r w:rsidRPr="00E60FCE">
              <w:rPr>
                <w:rStyle w:val="Strong"/>
                <w:sz w:val="22"/>
                <w:szCs w:val="22"/>
              </w:rPr>
              <w:t>Log-likelihood:</w:t>
            </w:r>
          </w:p>
        </w:tc>
        <w:tc>
          <w:tcPr>
            <w:tcW w:w="0" w:type="auto"/>
            <w:hideMark/>
          </w:tcPr>
          <w:p w14:paraId="50165B66" w14:textId="77777777" w:rsidR="00E60FCE" w:rsidRPr="00E60FCE" w:rsidRDefault="00E60FCE" w:rsidP="00B77462">
            <w:pPr>
              <w:rPr>
                <w:sz w:val="22"/>
                <w:szCs w:val="22"/>
              </w:rPr>
            </w:pPr>
            <w:r w:rsidRPr="00E60FCE">
              <w:rPr>
                <w:sz w:val="22"/>
                <w:szCs w:val="22"/>
              </w:rPr>
              <w:t>282.60</w:t>
            </w:r>
          </w:p>
        </w:tc>
      </w:tr>
    </w:tbl>
    <w:p w14:paraId="6BA85369" w14:textId="70FB0DCC" w:rsidR="00E60FCE" w:rsidRDefault="00E60FCE" w:rsidP="00DD0B52">
      <w:pPr>
        <w:pStyle w:val="NormalWeb"/>
        <w:rPr>
          <w:color w:val="000000"/>
        </w:rPr>
      </w:pPr>
      <w:r w:rsidRPr="00E60FCE">
        <w:rPr>
          <w:b/>
          <w:bCs/>
          <w:color w:val="000000"/>
        </w:rPr>
        <w:t>Table 1</w:t>
      </w:r>
      <w:r>
        <w:rPr>
          <w:color w:val="000000"/>
        </w:rPr>
        <w:t xml:space="preserve"> </w:t>
      </w:r>
      <w:r w:rsidR="00464C56">
        <w:rPr>
          <w:color w:val="000000"/>
        </w:rPr>
        <w:t>Fixed Effects Model</w:t>
      </w:r>
      <w:r>
        <w:rPr>
          <w:color w:val="000000"/>
        </w:rPr>
        <w:t xml:space="preserve"> PanelOLS Estimation Summary</w:t>
      </w:r>
    </w:p>
    <w:p w14:paraId="3394CA9F" w14:textId="77777777" w:rsidR="00E60FCE" w:rsidRPr="007D5E4A" w:rsidRDefault="00E60FCE" w:rsidP="00DD0B52"/>
    <w:p w14:paraId="6E2E09C1" w14:textId="77777777" w:rsidR="00CF3F26" w:rsidRDefault="00CF3F26" w:rsidP="00DD0B52">
      <w:pPr>
        <w:rPr>
          <w:b/>
          <w:bCs/>
        </w:rPr>
      </w:pPr>
    </w:p>
    <w:p w14:paraId="773922B4" w14:textId="77777777" w:rsidR="00E60FCE" w:rsidRDefault="00E60FCE" w:rsidP="00DD0B52">
      <w:pPr>
        <w:rPr>
          <w:b/>
          <w:bCs/>
        </w:rPr>
      </w:pPr>
    </w:p>
    <w:p w14:paraId="453F85C3" w14:textId="77777777" w:rsidR="00E60FCE" w:rsidRDefault="00E60FCE" w:rsidP="00DD0B52">
      <w:pPr>
        <w:tabs>
          <w:tab w:val="left" w:pos="3865"/>
        </w:tabs>
      </w:pPr>
    </w:p>
    <w:p w14:paraId="32E67877" w14:textId="77777777" w:rsidR="00B77462" w:rsidRDefault="00B77462" w:rsidP="00DD0B52">
      <w:pPr>
        <w:tabs>
          <w:tab w:val="left" w:pos="3865"/>
        </w:tabs>
      </w:pPr>
    </w:p>
    <w:p w14:paraId="2770BE16" w14:textId="77777777" w:rsidR="00B77462" w:rsidRDefault="00B77462" w:rsidP="00DD0B52">
      <w:pPr>
        <w:tabs>
          <w:tab w:val="left" w:pos="3865"/>
        </w:tabs>
      </w:pPr>
    </w:p>
    <w:p w14:paraId="30FB7271" w14:textId="77777777" w:rsidR="001E33AA" w:rsidRDefault="001E33AA" w:rsidP="00DD0B52">
      <w:pPr>
        <w:tabs>
          <w:tab w:val="left" w:pos="3865"/>
        </w:tabs>
      </w:pPr>
    </w:p>
    <w:p w14:paraId="39622268" w14:textId="77777777" w:rsidR="00E60FCE" w:rsidRDefault="00E60FCE" w:rsidP="00DD0B52">
      <w:pPr>
        <w:tabs>
          <w:tab w:val="left" w:pos="3865"/>
        </w:tabs>
      </w:pPr>
    </w:p>
    <w:tbl>
      <w:tblPr>
        <w:tblpPr w:leftFromText="180" w:rightFromText="180" w:vertAnchor="text" w:horzAnchor="page" w:tblpX="3780" w:tblpY="124"/>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885"/>
        <w:gridCol w:w="665"/>
        <w:gridCol w:w="769"/>
        <w:gridCol w:w="971"/>
        <w:gridCol w:w="974"/>
      </w:tblGrid>
      <w:tr w:rsidR="00187C18" w:rsidRPr="00E60FCE" w14:paraId="3F8364CA" w14:textId="77777777" w:rsidTr="00187C18">
        <w:trPr>
          <w:tblHeader/>
          <w:tblCellSpacing w:w="15" w:type="dxa"/>
        </w:trPr>
        <w:tc>
          <w:tcPr>
            <w:tcW w:w="0" w:type="auto"/>
            <w:tcBorders>
              <w:top w:val="single" w:sz="4" w:space="0" w:color="auto"/>
            </w:tcBorders>
            <w:vAlign w:val="center"/>
            <w:hideMark/>
          </w:tcPr>
          <w:p w14:paraId="04CEC2F5" w14:textId="77777777" w:rsidR="00187C18" w:rsidRPr="00E60FCE" w:rsidRDefault="00187C18" w:rsidP="00DD0B52">
            <w:pPr>
              <w:tabs>
                <w:tab w:val="left" w:pos="3865"/>
              </w:tabs>
              <w:rPr>
                <w:b/>
                <w:bCs/>
                <w:sz w:val="22"/>
                <w:szCs w:val="22"/>
              </w:rPr>
            </w:pPr>
            <w:r w:rsidRPr="00E60FCE">
              <w:rPr>
                <w:b/>
                <w:bCs/>
                <w:sz w:val="22"/>
                <w:szCs w:val="22"/>
              </w:rPr>
              <w:t>Parameter</w:t>
            </w:r>
          </w:p>
        </w:tc>
        <w:tc>
          <w:tcPr>
            <w:tcW w:w="0" w:type="auto"/>
            <w:tcBorders>
              <w:top w:val="single" w:sz="4" w:space="0" w:color="auto"/>
            </w:tcBorders>
            <w:vAlign w:val="center"/>
            <w:hideMark/>
          </w:tcPr>
          <w:p w14:paraId="0B19D5F2" w14:textId="77777777" w:rsidR="00187C18" w:rsidRPr="00E60FCE" w:rsidRDefault="00187C18" w:rsidP="00DD0B52">
            <w:pPr>
              <w:tabs>
                <w:tab w:val="left" w:pos="3865"/>
              </w:tabs>
              <w:rPr>
                <w:b/>
                <w:bCs/>
                <w:sz w:val="22"/>
                <w:szCs w:val="22"/>
              </w:rPr>
            </w:pPr>
            <w:r w:rsidRPr="00E60FCE">
              <w:rPr>
                <w:b/>
                <w:bCs/>
                <w:sz w:val="22"/>
                <w:szCs w:val="22"/>
              </w:rPr>
              <w:t>Std. Err.</w:t>
            </w:r>
          </w:p>
        </w:tc>
        <w:tc>
          <w:tcPr>
            <w:tcW w:w="0" w:type="auto"/>
            <w:tcBorders>
              <w:top w:val="single" w:sz="4" w:space="0" w:color="auto"/>
            </w:tcBorders>
            <w:vAlign w:val="center"/>
            <w:hideMark/>
          </w:tcPr>
          <w:p w14:paraId="79316D71" w14:textId="77777777" w:rsidR="00187C18" w:rsidRPr="00E60FCE" w:rsidRDefault="00187C18" w:rsidP="00DD0B52">
            <w:pPr>
              <w:tabs>
                <w:tab w:val="left" w:pos="3865"/>
              </w:tabs>
              <w:rPr>
                <w:b/>
                <w:bCs/>
                <w:sz w:val="22"/>
                <w:szCs w:val="22"/>
              </w:rPr>
            </w:pPr>
            <w:r w:rsidRPr="00E60FCE">
              <w:rPr>
                <w:b/>
                <w:bCs/>
                <w:sz w:val="22"/>
                <w:szCs w:val="22"/>
              </w:rPr>
              <w:t>T-stat</w:t>
            </w:r>
          </w:p>
        </w:tc>
        <w:tc>
          <w:tcPr>
            <w:tcW w:w="0" w:type="auto"/>
            <w:tcBorders>
              <w:top w:val="single" w:sz="4" w:space="0" w:color="auto"/>
            </w:tcBorders>
            <w:vAlign w:val="center"/>
            <w:hideMark/>
          </w:tcPr>
          <w:p w14:paraId="784081A8" w14:textId="77777777" w:rsidR="00187C18" w:rsidRPr="00E60FCE" w:rsidRDefault="00187C18" w:rsidP="00DD0B52">
            <w:pPr>
              <w:tabs>
                <w:tab w:val="left" w:pos="3865"/>
              </w:tabs>
              <w:rPr>
                <w:b/>
                <w:bCs/>
                <w:sz w:val="22"/>
                <w:szCs w:val="22"/>
              </w:rPr>
            </w:pPr>
            <w:r w:rsidRPr="00E60FCE">
              <w:rPr>
                <w:b/>
                <w:bCs/>
                <w:sz w:val="22"/>
                <w:szCs w:val="22"/>
              </w:rPr>
              <w:t>P-value</w:t>
            </w:r>
          </w:p>
        </w:tc>
        <w:tc>
          <w:tcPr>
            <w:tcW w:w="0" w:type="auto"/>
            <w:tcBorders>
              <w:top w:val="single" w:sz="4" w:space="0" w:color="auto"/>
            </w:tcBorders>
            <w:vAlign w:val="center"/>
            <w:hideMark/>
          </w:tcPr>
          <w:p w14:paraId="5DBB02BD" w14:textId="77777777" w:rsidR="00187C18" w:rsidRPr="00E60FCE" w:rsidRDefault="00187C18" w:rsidP="00DD0B52">
            <w:pPr>
              <w:tabs>
                <w:tab w:val="left" w:pos="3865"/>
              </w:tabs>
              <w:rPr>
                <w:b/>
                <w:bCs/>
                <w:sz w:val="22"/>
                <w:szCs w:val="22"/>
              </w:rPr>
            </w:pPr>
            <w:r w:rsidRPr="00E60FCE">
              <w:rPr>
                <w:b/>
                <w:bCs/>
                <w:sz w:val="22"/>
                <w:szCs w:val="22"/>
              </w:rPr>
              <w:t>Lower CI</w:t>
            </w:r>
          </w:p>
        </w:tc>
        <w:tc>
          <w:tcPr>
            <w:tcW w:w="0" w:type="auto"/>
            <w:tcBorders>
              <w:top w:val="single" w:sz="4" w:space="0" w:color="auto"/>
            </w:tcBorders>
            <w:vAlign w:val="center"/>
            <w:hideMark/>
          </w:tcPr>
          <w:p w14:paraId="6A64FE79" w14:textId="77777777" w:rsidR="00187C18" w:rsidRPr="00E60FCE" w:rsidRDefault="00187C18" w:rsidP="00DD0B52">
            <w:pPr>
              <w:tabs>
                <w:tab w:val="left" w:pos="3865"/>
              </w:tabs>
              <w:rPr>
                <w:b/>
                <w:bCs/>
                <w:sz w:val="22"/>
                <w:szCs w:val="22"/>
              </w:rPr>
            </w:pPr>
            <w:r w:rsidRPr="00E60FCE">
              <w:rPr>
                <w:b/>
                <w:bCs/>
                <w:sz w:val="22"/>
                <w:szCs w:val="22"/>
              </w:rPr>
              <w:t>Upper CI</w:t>
            </w:r>
          </w:p>
        </w:tc>
      </w:tr>
      <w:tr w:rsidR="00187C18" w:rsidRPr="00E60FCE" w14:paraId="6D27CE02" w14:textId="77777777" w:rsidTr="00187C18">
        <w:trPr>
          <w:tblCellSpacing w:w="15" w:type="dxa"/>
        </w:trPr>
        <w:tc>
          <w:tcPr>
            <w:tcW w:w="0" w:type="auto"/>
            <w:tcBorders>
              <w:top w:val="single" w:sz="4" w:space="0" w:color="auto"/>
            </w:tcBorders>
            <w:vAlign w:val="center"/>
            <w:hideMark/>
          </w:tcPr>
          <w:p w14:paraId="2EBE6463" w14:textId="77777777" w:rsidR="00187C18" w:rsidRPr="00E60FCE" w:rsidRDefault="00187C18" w:rsidP="00DD0B52">
            <w:pPr>
              <w:tabs>
                <w:tab w:val="left" w:pos="3865"/>
              </w:tabs>
              <w:rPr>
                <w:sz w:val="22"/>
                <w:szCs w:val="22"/>
              </w:rPr>
            </w:pPr>
            <w:r w:rsidRPr="00E60FCE">
              <w:rPr>
                <w:b/>
                <w:bCs/>
                <w:sz w:val="22"/>
                <w:szCs w:val="22"/>
              </w:rPr>
              <w:t>const</w:t>
            </w:r>
          </w:p>
        </w:tc>
        <w:tc>
          <w:tcPr>
            <w:tcW w:w="0" w:type="auto"/>
            <w:tcBorders>
              <w:top w:val="single" w:sz="4" w:space="0" w:color="auto"/>
            </w:tcBorders>
            <w:vAlign w:val="center"/>
            <w:hideMark/>
          </w:tcPr>
          <w:p w14:paraId="591DFCFC" w14:textId="77777777" w:rsidR="00187C18" w:rsidRPr="00E60FCE" w:rsidRDefault="00187C18" w:rsidP="00DD0B52">
            <w:pPr>
              <w:tabs>
                <w:tab w:val="left" w:pos="3865"/>
              </w:tabs>
              <w:rPr>
                <w:sz w:val="22"/>
                <w:szCs w:val="22"/>
              </w:rPr>
            </w:pPr>
            <w:r w:rsidRPr="00E60FCE">
              <w:rPr>
                <w:sz w:val="22"/>
                <w:szCs w:val="22"/>
              </w:rPr>
              <w:t>2.4079</w:t>
            </w:r>
          </w:p>
        </w:tc>
        <w:tc>
          <w:tcPr>
            <w:tcW w:w="0" w:type="auto"/>
            <w:tcBorders>
              <w:top w:val="single" w:sz="4" w:space="0" w:color="auto"/>
            </w:tcBorders>
            <w:vAlign w:val="center"/>
            <w:hideMark/>
          </w:tcPr>
          <w:p w14:paraId="6E7F3346" w14:textId="77777777" w:rsidR="00187C18" w:rsidRPr="00E60FCE" w:rsidRDefault="00187C18" w:rsidP="00DD0B52">
            <w:pPr>
              <w:tabs>
                <w:tab w:val="left" w:pos="3865"/>
              </w:tabs>
              <w:rPr>
                <w:sz w:val="22"/>
                <w:szCs w:val="22"/>
              </w:rPr>
            </w:pPr>
            <w:r w:rsidRPr="00E60FCE">
              <w:rPr>
                <w:sz w:val="22"/>
                <w:szCs w:val="22"/>
              </w:rPr>
              <w:t>1.4566</w:t>
            </w:r>
          </w:p>
        </w:tc>
        <w:tc>
          <w:tcPr>
            <w:tcW w:w="0" w:type="auto"/>
            <w:tcBorders>
              <w:top w:val="single" w:sz="4" w:space="0" w:color="auto"/>
            </w:tcBorders>
            <w:vAlign w:val="center"/>
            <w:hideMark/>
          </w:tcPr>
          <w:p w14:paraId="20DEFB91" w14:textId="77777777" w:rsidR="00187C18" w:rsidRPr="00E60FCE" w:rsidRDefault="00187C18" w:rsidP="00DD0B52">
            <w:pPr>
              <w:tabs>
                <w:tab w:val="left" w:pos="3865"/>
              </w:tabs>
              <w:rPr>
                <w:sz w:val="22"/>
                <w:szCs w:val="22"/>
              </w:rPr>
            </w:pPr>
            <w:r w:rsidRPr="00E60FCE">
              <w:rPr>
                <w:sz w:val="22"/>
                <w:szCs w:val="22"/>
              </w:rPr>
              <w:t>1.6532</w:t>
            </w:r>
          </w:p>
        </w:tc>
        <w:tc>
          <w:tcPr>
            <w:tcW w:w="0" w:type="auto"/>
            <w:tcBorders>
              <w:top w:val="single" w:sz="4" w:space="0" w:color="auto"/>
            </w:tcBorders>
            <w:vAlign w:val="center"/>
            <w:hideMark/>
          </w:tcPr>
          <w:p w14:paraId="2565BC53" w14:textId="77777777" w:rsidR="00187C18" w:rsidRPr="00E60FCE" w:rsidRDefault="00187C18" w:rsidP="00DD0B52">
            <w:pPr>
              <w:tabs>
                <w:tab w:val="left" w:pos="3865"/>
              </w:tabs>
              <w:rPr>
                <w:sz w:val="22"/>
                <w:szCs w:val="22"/>
              </w:rPr>
            </w:pPr>
            <w:r w:rsidRPr="00E60FCE">
              <w:rPr>
                <w:sz w:val="22"/>
                <w:szCs w:val="22"/>
              </w:rPr>
              <w:t>0.0998</w:t>
            </w:r>
          </w:p>
        </w:tc>
        <w:tc>
          <w:tcPr>
            <w:tcW w:w="0" w:type="auto"/>
            <w:tcBorders>
              <w:top w:val="single" w:sz="4" w:space="0" w:color="auto"/>
            </w:tcBorders>
            <w:vAlign w:val="center"/>
            <w:hideMark/>
          </w:tcPr>
          <w:p w14:paraId="4AF67D0A" w14:textId="77777777" w:rsidR="00187C18" w:rsidRPr="00E60FCE" w:rsidRDefault="00187C18" w:rsidP="00DD0B52">
            <w:pPr>
              <w:tabs>
                <w:tab w:val="left" w:pos="3865"/>
              </w:tabs>
              <w:rPr>
                <w:sz w:val="22"/>
                <w:szCs w:val="22"/>
              </w:rPr>
            </w:pPr>
            <w:r w:rsidRPr="00E60FCE">
              <w:rPr>
                <w:sz w:val="22"/>
                <w:szCs w:val="22"/>
              </w:rPr>
              <w:t>-0.4640</w:t>
            </w:r>
          </w:p>
        </w:tc>
      </w:tr>
      <w:tr w:rsidR="00187C18" w:rsidRPr="00E60FCE" w14:paraId="466AE861" w14:textId="77777777" w:rsidTr="00187C18">
        <w:trPr>
          <w:tblCellSpacing w:w="15" w:type="dxa"/>
        </w:trPr>
        <w:tc>
          <w:tcPr>
            <w:tcW w:w="0" w:type="auto"/>
            <w:vAlign w:val="center"/>
            <w:hideMark/>
          </w:tcPr>
          <w:p w14:paraId="2B1719B7" w14:textId="77777777" w:rsidR="00187C18" w:rsidRPr="00E60FCE" w:rsidRDefault="00187C18" w:rsidP="00DD0B52">
            <w:pPr>
              <w:tabs>
                <w:tab w:val="left" w:pos="3865"/>
              </w:tabs>
              <w:rPr>
                <w:sz w:val="22"/>
                <w:szCs w:val="22"/>
              </w:rPr>
            </w:pPr>
            <w:r w:rsidRPr="00E60FCE">
              <w:rPr>
                <w:b/>
                <w:bCs/>
                <w:sz w:val="22"/>
                <w:szCs w:val="22"/>
              </w:rPr>
              <w:t>LifeExpectancy</w:t>
            </w:r>
          </w:p>
        </w:tc>
        <w:tc>
          <w:tcPr>
            <w:tcW w:w="0" w:type="auto"/>
            <w:vAlign w:val="center"/>
            <w:hideMark/>
          </w:tcPr>
          <w:p w14:paraId="3042460B" w14:textId="77777777" w:rsidR="00187C18" w:rsidRPr="00E60FCE" w:rsidRDefault="00187C18" w:rsidP="00DD0B52">
            <w:pPr>
              <w:tabs>
                <w:tab w:val="left" w:pos="3865"/>
              </w:tabs>
              <w:rPr>
                <w:sz w:val="22"/>
                <w:szCs w:val="22"/>
              </w:rPr>
            </w:pPr>
            <w:r w:rsidRPr="00E60FCE">
              <w:rPr>
                <w:sz w:val="22"/>
                <w:szCs w:val="22"/>
              </w:rPr>
              <w:t>-0.0550</w:t>
            </w:r>
          </w:p>
        </w:tc>
        <w:tc>
          <w:tcPr>
            <w:tcW w:w="0" w:type="auto"/>
            <w:vAlign w:val="center"/>
            <w:hideMark/>
          </w:tcPr>
          <w:p w14:paraId="7985CF30" w14:textId="77777777" w:rsidR="00187C18" w:rsidRPr="00E60FCE" w:rsidRDefault="00187C18" w:rsidP="00DD0B52">
            <w:pPr>
              <w:tabs>
                <w:tab w:val="left" w:pos="3865"/>
              </w:tabs>
              <w:rPr>
                <w:sz w:val="22"/>
                <w:szCs w:val="22"/>
              </w:rPr>
            </w:pPr>
            <w:r w:rsidRPr="00E60FCE">
              <w:rPr>
                <w:sz w:val="22"/>
                <w:szCs w:val="22"/>
              </w:rPr>
              <w:t>0.0072</w:t>
            </w:r>
          </w:p>
        </w:tc>
        <w:tc>
          <w:tcPr>
            <w:tcW w:w="0" w:type="auto"/>
            <w:vAlign w:val="center"/>
            <w:hideMark/>
          </w:tcPr>
          <w:p w14:paraId="1D6A5150" w14:textId="77777777" w:rsidR="00187C18" w:rsidRPr="00E60FCE" w:rsidRDefault="00187C18" w:rsidP="00DD0B52">
            <w:pPr>
              <w:tabs>
                <w:tab w:val="left" w:pos="3865"/>
              </w:tabs>
              <w:rPr>
                <w:sz w:val="22"/>
                <w:szCs w:val="22"/>
              </w:rPr>
            </w:pPr>
            <w:r w:rsidRPr="00E60FCE">
              <w:rPr>
                <w:sz w:val="22"/>
                <w:szCs w:val="22"/>
              </w:rPr>
              <w:t>-7.6491</w:t>
            </w:r>
          </w:p>
        </w:tc>
        <w:tc>
          <w:tcPr>
            <w:tcW w:w="0" w:type="auto"/>
            <w:vAlign w:val="center"/>
            <w:hideMark/>
          </w:tcPr>
          <w:p w14:paraId="12BE1AB2" w14:textId="77777777" w:rsidR="00187C18" w:rsidRPr="00E60FCE" w:rsidRDefault="00187C18" w:rsidP="00DD0B52">
            <w:pPr>
              <w:tabs>
                <w:tab w:val="left" w:pos="3865"/>
              </w:tabs>
              <w:rPr>
                <w:sz w:val="22"/>
                <w:szCs w:val="22"/>
              </w:rPr>
            </w:pPr>
            <w:r w:rsidRPr="00E60FCE">
              <w:rPr>
                <w:sz w:val="22"/>
                <w:szCs w:val="22"/>
              </w:rPr>
              <w:t>0.0000</w:t>
            </w:r>
          </w:p>
        </w:tc>
        <w:tc>
          <w:tcPr>
            <w:tcW w:w="0" w:type="auto"/>
            <w:vAlign w:val="center"/>
            <w:hideMark/>
          </w:tcPr>
          <w:p w14:paraId="2212CDB9" w14:textId="77777777" w:rsidR="00187C18" w:rsidRPr="00E60FCE" w:rsidRDefault="00187C18" w:rsidP="00DD0B52">
            <w:pPr>
              <w:tabs>
                <w:tab w:val="left" w:pos="3865"/>
              </w:tabs>
              <w:rPr>
                <w:sz w:val="22"/>
                <w:szCs w:val="22"/>
              </w:rPr>
            </w:pPr>
            <w:r w:rsidRPr="00E60FCE">
              <w:rPr>
                <w:sz w:val="22"/>
                <w:szCs w:val="22"/>
              </w:rPr>
              <w:t>-0.0692</w:t>
            </w:r>
          </w:p>
        </w:tc>
      </w:tr>
      <w:tr w:rsidR="00187C18" w:rsidRPr="00E60FCE" w14:paraId="0A4A56FF" w14:textId="77777777" w:rsidTr="00187C18">
        <w:trPr>
          <w:tblCellSpacing w:w="15" w:type="dxa"/>
        </w:trPr>
        <w:tc>
          <w:tcPr>
            <w:tcW w:w="0" w:type="auto"/>
            <w:vAlign w:val="center"/>
            <w:hideMark/>
          </w:tcPr>
          <w:p w14:paraId="0E61B798" w14:textId="77777777" w:rsidR="00187C18" w:rsidRPr="00E60FCE" w:rsidRDefault="00187C18" w:rsidP="00DD0B52">
            <w:pPr>
              <w:tabs>
                <w:tab w:val="left" w:pos="3865"/>
              </w:tabs>
              <w:rPr>
                <w:sz w:val="22"/>
                <w:szCs w:val="22"/>
              </w:rPr>
            </w:pPr>
            <w:r w:rsidRPr="00E60FCE">
              <w:rPr>
                <w:b/>
                <w:bCs/>
                <w:sz w:val="22"/>
                <w:szCs w:val="22"/>
              </w:rPr>
              <w:t>Economic_Indicator</w:t>
            </w:r>
          </w:p>
        </w:tc>
        <w:tc>
          <w:tcPr>
            <w:tcW w:w="0" w:type="auto"/>
            <w:vAlign w:val="center"/>
            <w:hideMark/>
          </w:tcPr>
          <w:p w14:paraId="55CCFA57" w14:textId="77777777" w:rsidR="00187C18" w:rsidRPr="00E60FCE" w:rsidRDefault="00187C18" w:rsidP="00DD0B52">
            <w:pPr>
              <w:tabs>
                <w:tab w:val="left" w:pos="3865"/>
              </w:tabs>
              <w:rPr>
                <w:sz w:val="22"/>
                <w:szCs w:val="22"/>
              </w:rPr>
            </w:pPr>
            <w:r w:rsidRPr="00E60FCE">
              <w:rPr>
                <w:sz w:val="22"/>
                <w:szCs w:val="22"/>
              </w:rPr>
              <w:t>0.1521</w:t>
            </w:r>
          </w:p>
        </w:tc>
        <w:tc>
          <w:tcPr>
            <w:tcW w:w="0" w:type="auto"/>
            <w:vAlign w:val="center"/>
            <w:hideMark/>
          </w:tcPr>
          <w:p w14:paraId="33ACB752" w14:textId="77777777" w:rsidR="00187C18" w:rsidRPr="00E60FCE" w:rsidRDefault="00187C18" w:rsidP="00DD0B52">
            <w:pPr>
              <w:tabs>
                <w:tab w:val="left" w:pos="3865"/>
              </w:tabs>
              <w:rPr>
                <w:sz w:val="22"/>
                <w:szCs w:val="22"/>
              </w:rPr>
            </w:pPr>
            <w:r w:rsidRPr="00E60FCE">
              <w:rPr>
                <w:sz w:val="22"/>
                <w:szCs w:val="22"/>
              </w:rPr>
              <w:t>0.0485</w:t>
            </w:r>
          </w:p>
        </w:tc>
        <w:tc>
          <w:tcPr>
            <w:tcW w:w="0" w:type="auto"/>
            <w:vAlign w:val="center"/>
            <w:hideMark/>
          </w:tcPr>
          <w:p w14:paraId="040184DB" w14:textId="77777777" w:rsidR="00187C18" w:rsidRPr="00E60FCE" w:rsidRDefault="00187C18" w:rsidP="00DD0B52">
            <w:pPr>
              <w:tabs>
                <w:tab w:val="left" w:pos="3865"/>
              </w:tabs>
              <w:rPr>
                <w:sz w:val="22"/>
                <w:szCs w:val="22"/>
              </w:rPr>
            </w:pPr>
            <w:r w:rsidRPr="00E60FCE">
              <w:rPr>
                <w:sz w:val="22"/>
                <w:szCs w:val="22"/>
              </w:rPr>
              <w:t>3.1386</w:t>
            </w:r>
          </w:p>
        </w:tc>
        <w:tc>
          <w:tcPr>
            <w:tcW w:w="0" w:type="auto"/>
            <w:vAlign w:val="center"/>
            <w:hideMark/>
          </w:tcPr>
          <w:p w14:paraId="495284A6" w14:textId="77777777" w:rsidR="00187C18" w:rsidRPr="00E60FCE" w:rsidRDefault="00187C18" w:rsidP="00DD0B52">
            <w:pPr>
              <w:tabs>
                <w:tab w:val="left" w:pos="3865"/>
              </w:tabs>
              <w:rPr>
                <w:sz w:val="22"/>
                <w:szCs w:val="22"/>
              </w:rPr>
            </w:pPr>
            <w:r w:rsidRPr="00E60FCE">
              <w:rPr>
                <w:sz w:val="22"/>
                <w:szCs w:val="22"/>
              </w:rPr>
              <w:t>0.0020</w:t>
            </w:r>
          </w:p>
        </w:tc>
        <w:tc>
          <w:tcPr>
            <w:tcW w:w="0" w:type="auto"/>
            <w:vAlign w:val="center"/>
            <w:hideMark/>
          </w:tcPr>
          <w:p w14:paraId="7DB7ABE4" w14:textId="77777777" w:rsidR="00187C18" w:rsidRPr="00E60FCE" w:rsidRDefault="00187C18" w:rsidP="00DD0B52">
            <w:pPr>
              <w:tabs>
                <w:tab w:val="left" w:pos="3865"/>
              </w:tabs>
              <w:rPr>
                <w:sz w:val="22"/>
                <w:szCs w:val="22"/>
              </w:rPr>
            </w:pPr>
            <w:r w:rsidRPr="00E60FCE">
              <w:rPr>
                <w:sz w:val="22"/>
                <w:szCs w:val="22"/>
              </w:rPr>
              <w:t>0.0566</w:t>
            </w:r>
          </w:p>
        </w:tc>
      </w:tr>
    </w:tbl>
    <w:p w14:paraId="60F83034" w14:textId="13052007" w:rsidR="00E60FCE" w:rsidRDefault="00E60FCE" w:rsidP="00DD0B52">
      <w:pPr>
        <w:tabs>
          <w:tab w:val="left" w:pos="3865"/>
        </w:tabs>
      </w:pPr>
      <w:r w:rsidRPr="00E60FCE">
        <w:rPr>
          <w:b/>
          <w:bCs/>
        </w:rPr>
        <w:t>Table 2</w:t>
      </w:r>
      <w:r>
        <w:rPr>
          <w:b/>
          <w:bCs/>
        </w:rPr>
        <w:t xml:space="preserve"> </w:t>
      </w:r>
      <w:r>
        <w:t xml:space="preserve">Parameter Estimation </w:t>
      </w:r>
    </w:p>
    <w:p w14:paraId="2C5E243E" w14:textId="77777777" w:rsidR="00E60FCE" w:rsidRDefault="00E60FCE" w:rsidP="00DD0B52">
      <w:pPr>
        <w:tabs>
          <w:tab w:val="left" w:pos="3865"/>
        </w:tabs>
      </w:pPr>
    </w:p>
    <w:p w14:paraId="32A120D6" w14:textId="77777777" w:rsidR="00187C18" w:rsidRDefault="00187C18" w:rsidP="00DD0B52">
      <w:pPr>
        <w:tabs>
          <w:tab w:val="left" w:pos="3865"/>
        </w:tabs>
      </w:pPr>
    </w:p>
    <w:p w14:paraId="6A758210" w14:textId="77777777" w:rsidR="00187C18" w:rsidRDefault="00187C18" w:rsidP="00DD0B52">
      <w:pPr>
        <w:tabs>
          <w:tab w:val="left" w:pos="3865"/>
        </w:tabs>
      </w:pPr>
    </w:p>
    <w:p w14:paraId="390B953A" w14:textId="77777777" w:rsidR="00187C18" w:rsidRDefault="00187C18" w:rsidP="00DD0B52">
      <w:pPr>
        <w:tabs>
          <w:tab w:val="left" w:pos="3865"/>
        </w:tabs>
      </w:pPr>
    </w:p>
    <w:p w14:paraId="0C689DC0" w14:textId="77777777" w:rsidR="00187C18" w:rsidRDefault="00187C18" w:rsidP="00DD0B52">
      <w:pPr>
        <w:tabs>
          <w:tab w:val="left" w:pos="3865"/>
        </w:tabs>
      </w:pPr>
    </w:p>
    <w:p w14:paraId="247893C3" w14:textId="77777777" w:rsidR="000A2B77" w:rsidRDefault="000A2B77" w:rsidP="00DD0B52">
      <w:pPr>
        <w:tabs>
          <w:tab w:val="left" w:pos="3865"/>
        </w:tabs>
      </w:pPr>
    </w:p>
    <w:tbl>
      <w:tblPr>
        <w:tblpPr w:leftFromText="180" w:rightFromText="180" w:vertAnchor="text" w:horzAnchor="page" w:tblpX="5052" w:tblpY="54"/>
        <w:tblW w:w="4628" w:type="dxa"/>
        <w:tblCellSpacing w:w="15" w:type="dxa"/>
        <w:tblCellMar>
          <w:top w:w="15" w:type="dxa"/>
          <w:left w:w="15" w:type="dxa"/>
          <w:bottom w:w="15" w:type="dxa"/>
          <w:right w:w="15" w:type="dxa"/>
        </w:tblCellMar>
        <w:tblLook w:val="04A0" w:firstRow="1" w:lastRow="0" w:firstColumn="1" w:lastColumn="0" w:noHBand="0" w:noVBand="1"/>
      </w:tblPr>
      <w:tblGrid>
        <w:gridCol w:w="2883"/>
        <w:gridCol w:w="1745"/>
      </w:tblGrid>
      <w:tr w:rsidR="00E44840" w:rsidRPr="00A7206B" w14:paraId="43D4662E" w14:textId="77777777" w:rsidTr="00AC3520">
        <w:trPr>
          <w:trHeight w:val="345"/>
          <w:tblCellSpacing w:w="15" w:type="dxa"/>
        </w:trPr>
        <w:tc>
          <w:tcPr>
            <w:tcW w:w="0" w:type="auto"/>
            <w:tcBorders>
              <w:top w:val="single" w:sz="4" w:space="0" w:color="auto"/>
            </w:tcBorders>
            <w:vAlign w:val="center"/>
            <w:hideMark/>
          </w:tcPr>
          <w:p w14:paraId="40C95E7B" w14:textId="77777777" w:rsidR="00E44840" w:rsidRPr="00A7206B" w:rsidRDefault="00E44840" w:rsidP="00DD0B52">
            <w:pPr>
              <w:tabs>
                <w:tab w:val="left" w:pos="3865"/>
              </w:tabs>
            </w:pPr>
            <w:r w:rsidRPr="00A7206B">
              <w:rPr>
                <w:b/>
                <w:bCs/>
              </w:rPr>
              <w:t>Dep. Variable:</w:t>
            </w:r>
          </w:p>
        </w:tc>
        <w:tc>
          <w:tcPr>
            <w:tcW w:w="0" w:type="auto"/>
            <w:tcBorders>
              <w:top w:val="single" w:sz="4" w:space="0" w:color="auto"/>
            </w:tcBorders>
            <w:vAlign w:val="center"/>
            <w:hideMark/>
          </w:tcPr>
          <w:p w14:paraId="083A68D5" w14:textId="77777777" w:rsidR="00E44840" w:rsidRPr="00A7206B" w:rsidRDefault="00E44840" w:rsidP="00DD0B52">
            <w:pPr>
              <w:tabs>
                <w:tab w:val="left" w:pos="3865"/>
              </w:tabs>
            </w:pPr>
            <w:r w:rsidRPr="00A7206B">
              <w:t>Fertility_Rate</w:t>
            </w:r>
          </w:p>
        </w:tc>
      </w:tr>
      <w:tr w:rsidR="00E44840" w:rsidRPr="00A7206B" w14:paraId="0680840E" w14:textId="77777777" w:rsidTr="00AC3520">
        <w:trPr>
          <w:trHeight w:val="345"/>
          <w:tblCellSpacing w:w="15" w:type="dxa"/>
        </w:trPr>
        <w:tc>
          <w:tcPr>
            <w:tcW w:w="0" w:type="auto"/>
            <w:tcBorders>
              <w:top w:val="single" w:sz="4" w:space="0" w:color="auto"/>
            </w:tcBorders>
            <w:vAlign w:val="center"/>
            <w:hideMark/>
          </w:tcPr>
          <w:p w14:paraId="4660D265" w14:textId="77777777" w:rsidR="00E44840" w:rsidRPr="00A7206B" w:rsidRDefault="00E44840" w:rsidP="00DD0B52">
            <w:pPr>
              <w:tabs>
                <w:tab w:val="left" w:pos="3865"/>
              </w:tabs>
            </w:pPr>
            <w:r w:rsidRPr="00A7206B">
              <w:rPr>
                <w:b/>
                <w:bCs/>
              </w:rPr>
              <w:t>No. Observations:</w:t>
            </w:r>
          </w:p>
        </w:tc>
        <w:tc>
          <w:tcPr>
            <w:tcW w:w="0" w:type="auto"/>
            <w:tcBorders>
              <w:top w:val="single" w:sz="4" w:space="0" w:color="auto"/>
            </w:tcBorders>
            <w:vAlign w:val="center"/>
            <w:hideMark/>
          </w:tcPr>
          <w:p w14:paraId="0B7444D0" w14:textId="77777777" w:rsidR="00E44840" w:rsidRPr="00A7206B" w:rsidRDefault="00E44840" w:rsidP="00DD0B52">
            <w:pPr>
              <w:tabs>
                <w:tab w:val="left" w:pos="3865"/>
              </w:tabs>
            </w:pPr>
            <w:r w:rsidRPr="00A7206B">
              <w:t>410</w:t>
            </w:r>
          </w:p>
        </w:tc>
      </w:tr>
      <w:tr w:rsidR="00E44840" w:rsidRPr="00A7206B" w14:paraId="7F2F423D" w14:textId="77777777" w:rsidTr="00AC3520">
        <w:trPr>
          <w:trHeight w:val="345"/>
          <w:tblCellSpacing w:w="15" w:type="dxa"/>
        </w:trPr>
        <w:tc>
          <w:tcPr>
            <w:tcW w:w="0" w:type="auto"/>
            <w:vAlign w:val="center"/>
            <w:hideMark/>
          </w:tcPr>
          <w:p w14:paraId="0B56D22C" w14:textId="77777777" w:rsidR="00E44840" w:rsidRPr="00A7206B" w:rsidRDefault="00E44840" w:rsidP="00DD0B52">
            <w:pPr>
              <w:tabs>
                <w:tab w:val="left" w:pos="3865"/>
              </w:tabs>
            </w:pPr>
            <w:r w:rsidRPr="00A7206B">
              <w:rPr>
                <w:b/>
                <w:bCs/>
              </w:rPr>
              <w:t>Cov. Estimator:</w:t>
            </w:r>
          </w:p>
        </w:tc>
        <w:tc>
          <w:tcPr>
            <w:tcW w:w="0" w:type="auto"/>
            <w:vAlign w:val="center"/>
            <w:hideMark/>
          </w:tcPr>
          <w:p w14:paraId="1CC9A798" w14:textId="77777777" w:rsidR="00E44840" w:rsidRPr="00A7206B" w:rsidRDefault="00E44840" w:rsidP="00DD0B52">
            <w:pPr>
              <w:tabs>
                <w:tab w:val="left" w:pos="3865"/>
              </w:tabs>
            </w:pPr>
            <w:r w:rsidRPr="00A7206B">
              <w:t>Unadjusted</w:t>
            </w:r>
          </w:p>
        </w:tc>
      </w:tr>
      <w:tr w:rsidR="00E44840" w:rsidRPr="00A7206B" w14:paraId="79D84533" w14:textId="77777777" w:rsidTr="00AC3520">
        <w:trPr>
          <w:trHeight w:val="369"/>
          <w:tblCellSpacing w:w="15" w:type="dxa"/>
        </w:trPr>
        <w:tc>
          <w:tcPr>
            <w:tcW w:w="0" w:type="auto"/>
            <w:vAlign w:val="center"/>
            <w:hideMark/>
          </w:tcPr>
          <w:p w14:paraId="530D1E10" w14:textId="77777777" w:rsidR="00E44840" w:rsidRPr="00A7206B" w:rsidRDefault="00E44840" w:rsidP="00DD0B52">
            <w:pPr>
              <w:tabs>
                <w:tab w:val="left" w:pos="3865"/>
              </w:tabs>
            </w:pPr>
            <w:r w:rsidRPr="00A7206B">
              <w:rPr>
                <w:b/>
                <w:bCs/>
              </w:rPr>
              <w:t>R-squared:</w:t>
            </w:r>
          </w:p>
        </w:tc>
        <w:tc>
          <w:tcPr>
            <w:tcW w:w="0" w:type="auto"/>
            <w:vAlign w:val="center"/>
            <w:hideMark/>
          </w:tcPr>
          <w:p w14:paraId="3947280D" w14:textId="77777777" w:rsidR="00E44840" w:rsidRPr="00A7206B" w:rsidRDefault="00E44840" w:rsidP="00DD0B52">
            <w:pPr>
              <w:tabs>
                <w:tab w:val="left" w:pos="3865"/>
              </w:tabs>
            </w:pPr>
            <w:r w:rsidRPr="00A7206B">
              <w:t>0.5250</w:t>
            </w:r>
          </w:p>
        </w:tc>
      </w:tr>
      <w:tr w:rsidR="00E44840" w:rsidRPr="00A7206B" w14:paraId="080E08CB" w14:textId="77777777" w:rsidTr="00AC3520">
        <w:trPr>
          <w:trHeight w:val="369"/>
          <w:tblCellSpacing w:w="15" w:type="dxa"/>
        </w:trPr>
        <w:tc>
          <w:tcPr>
            <w:tcW w:w="0" w:type="auto"/>
            <w:vAlign w:val="center"/>
            <w:hideMark/>
          </w:tcPr>
          <w:p w14:paraId="78E3A47E" w14:textId="77777777" w:rsidR="00E44840" w:rsidRPr="00A7206B" w:rsidRDefault="00E44840" w:rsidP="00DD0B52">
            <w:pPr>
              <w:tabs>
                <w:tab w:val="left" w:pos="3865"/>
              </w:tabs>
            </w:pPr>
            <w:r w:rsidRPr="00A7206B">
              <w:rPr>
                <w:b/>
                <w:bCs/>
              </w:rPr>
              <w:t>R-squared (Between):</w:t>
            </w:r>
          </w:p>
        </w:tc>
        <w:tc>
          <w:tcPr>
            <w:tcW w:w="0" w:type="auto"/>
            <w:vAlign w:val="center"/>
            <w:hideMark/>
          </w:tcPr>
          <w:p w14:paraId="502A766D" w14:textId="77777777" w:rsidR="00E44840" w:rsidRPr="00A7206B" w:rsidRDefault="00E44840" w:rsidP="00DD0B52">
            <w:pPr>
              <w:tabs>
                <w:tab w:val="left" w:pos="3865"/>
              </w:tabs>
            </w:pPr>
            <w:r w:rsidRPr="00A7206B">
              <w:t>0.6899</w:t>
            </w:r>
          </w:p>
        </w:tc>
      </w:tr>
      <w:tr w:rsidR="00E44840" w:rsidRPr="00A7206B" w14:paraId="7FC79236" w14:textId="77777777" w:rsidTr="00AC3520">
        <w:trPr>
          <w:trHeight w:val="345"/>
          <w:tblCellSpacing w:w="15" w:type="dxa"/>
        </w:trPr>
        <w:tc>
          <w:tcPr>
            <w:tcW w:w="0" w:type="auto"/>
            <w:vAlign w:val="center"/>
            <w:hideMark/>
          </w:tcPr>
          <w:p w14:paraId="1D741B61" w14:textId="77777777" w:rsidR="00E44840" w:rsidRPr="00A7206B" w:rsidRDefault="00E44840" w:rsidP="00DD0B52">
            <w:pPr>
              <w:tabs>
                <w:tab w:val="left" w:pos="3865"/>
              </w:tabs>
            </w:pPr>
            <w:r w:rsidRPr="00A7206B">
              <w:rPr>
                <w:b/>
                <w:bCs/>
              </w:rPr>
              <w:t>R-squared (Within):</w:t>
            </w:r>
          </w:p>
        </w:tc>
        <w:tc>
          <w:tcPr>
            <w:tcW w:w="0" w:type="auto"/>
            <w:vAlign w:val="center"/>
            <w:hideMark/>
          </w:tcPr>
          <w:p w14:paraId="0A4B2498" w14:textId="77777777" w:rsidR="00E44840" w:rsidRPr="00A7206B" w:rsidRDefault="00E44840" w:rsidP="00DD0B52">
            <w:pPr>
              <w:tabs>
                <w:tab w:val="left" w:pos="3865"/>
              </w:tabs>
            </w:pPr>
            <w:r w:rsidRPr="00A7206B">
              <w:t>0.0471</w:t>
            </w:r>
          </w:p>
        </w:tc>
      </w:tr>
      <w:tr w:rsidR="00E44840" w:rsidRPr="00A7206B" w14:paraId="4C49AE7A" w14:textId="77777777" w:rsidTr="00AC3520">
        <w:trPr>
          <w:trHeight w:val="369"/>
          <w:tblCellSpacing w:w="15" w:type="dxa"/>
        </w:trPr>
        <w:tc>
          <w:tcPr>
            <w:tcW w:w="0" w:type="auto"/>
            <w:vAlign w:val="center"/>
            <w:hideMark/>
          </w:tcPr>
          <w:p w14:paraId="26412E42" w14:textId="77777777" w:rsidR="00E44840" w:rsidRPr="00A7206B" w:rsidRDefault="00E44840" w:rsidP="00DD0B52">
            <w:pPr>
              <w:tabs>
                <w:tab w:val="left" w:pos="3865"/>
              </w:tabs>
            </w:pPr>
            <w:r w:rsidRPr="00A7206B">
              <w:rPr>
                <w:b/>
                <w:bCs/>
              </w:rPr>
              <w:t>R-squared (Overall):</w:t>
            </w:r>
          </w:p>
        </w:tc>
        <w:tc>
          <w:tcPr>
            <w:tcW w:w="0" w:type="auto"/>
            <w:vAlign w:val="center"/>
            <w:hideMark/>
          </w:tcPr>
          <w:p w14:paraId="2D987192" w14:textId="77777777" w:rsidR="00E44840" w:rsidRPr="00A7206B" w:rsidRDefault="00E44840" w:rsidP="00DD0B52">
            <w:pPr>
              <w:tabs>
                <w:tab w:val="left" w:pos="3865"/>
              </w:tabs>
            </w:pPr>
            <w:r w:rsidRPr="00A7206B">
              <w:t>0.6838</w:t>
            </w:r>
          </w:p>
        </w:tc>
      </w:tr>
      <w:tr w:rsidR="00E44840" w:rsidRPr="00A7206B" w14:paraId="642AB641" w14:textId="77777777" w:rsidTr="00AC3520">
        <w:trPr>
          <w:trHeight w:val="345"/>
          <w:tblCellSpacing w:w="15" w:type="dxa"/>
        </w:trPr>
        <w:tc>
          <w:tcPr>
            <w:tcW w:w="0" w:type="auto"/>
            <w:vAlign w:val="center"/>
            <w:hideMark/>
          </w:tcPr>
          <w:p w14:paraId="41B76040" w14:textId="77777777" w:rsidR="00E44840" w:rsidRPr="00A7206B" w:rsidRDefault="00E44840" w:rsidP="00DD0B52">
            <w:pPr>
              <w:tabs>
                <w:tab w:val="left" w:pos="3865"/>
              </w:tabs>
            </w:pPr>
            <w:r w:rsidRPr="00A7206B">
              <w:rPr>
                <w:b/>
                <w:bCs/>
              </w:rPr>
              <w:t>Log-likelihood:</w:t>
            </w:r>
          </w:p>
        </w:tc>
        <w:tc>
          <w:tcPr>
            <w:tcW w:w="0" w:type="auto"/>
            <w:vAlign w:val="center"/>
            <w:hideMark/>
          </w:tcPr>
          <w:p w14:paraId="32F4609A" w14:textId="77777777" w:rsidR="00E44840" w:rsidRPr="00A7206B" w:rsidRDefault="00E44840" w:rsidP="00DD0B52">
            <w:pPr>
              <w:tabs>
                <w:tab w:val="left" w:pos="3865"/>
              </w:tabs>
            </w:pPr>
            <w:r w:rsidRPr="00A7206B">
              <w:t>99.054</w:t>
            </w:r>
          </w:p>
        </w:tc>
      </w:tr>
    </w:tbl>
    <w:p w14:paraId="559ED24C" w14:textId="77777777" w:rsidR="00187C18" w:rsidRDefault="00187C18" w:rsidP="00DD0B52">
      <w:pPr>
        <w:tabs>
          <w:tab w:val="left" w:pos="3865"/>
        </w:tabs>
      </w:pPr>
      <w:r w:rsidRPr="00187C18">
        <w:rPr>
          <w:b/>
          <w:bCs/>
        </w:rPr>
        <w:t>Table 3</w:t>
      </w:r>
      <w:r>
        <w:t xml:space="preserve"> Random Effects Estimation Summary</w:t>
      </w:r>
    </w:p>
    <w:p w14:paraId="48F6A306" w14:textId="77777777" w:rsidR="00A7206B" w:rsidRPr="00A7206B" w:rsidRDefault="00A7206B" w:rsidP="00DD0B52">
      <w:pPr>
        <w:tabs>
          <w:tab w:val="left" w:pos="3865"/>
        </w:tabs>
      </w:pPr>
    </w:p>
    <w:p w14:paraId="38D8E8DC" w14:textId="77777777" w:rsidR="008C1EC5" w:rsidRPr="00E60FCE" w:rsidRDefault="008C1EC5" w:rsidP="00DD0B52">
      <w:pPr>
        <w:tabs>
          <w:tab w:val="left" w:pos="3865"/>
        </w:tabs>
      </w:pPr>
    </w:p>
    <w:p w14:paraId="746A04EE" w14:textId="77777777" w:rsidR="00CF3F26" w:rsidRPr="007D5E4A" w:rsidRDefault="00CF3F26" w:rsidP="00DD0B52"/>
    <w:p w14:paraId="224C0377" w14:textId="77777777" w:rsidR="00CB2EB7" w:rsidRPr="007D5E4A" w:rsidRDefault="00CB2EB7" w:rsidP="00DD0B52">
      <w:pPr>
        <w:rPr>
          <w:b/>
          <w:bCs/>
        </w:rPr>
      </w:pPr>
    </w:p>
    <w:p w14:paraId="592DC060" w14:textId="77777777" w:rsidR="00E44840" w:rsidRDefault="00E44840" w:rsidP="00DD0B52">
      <w:pPr>
        <w:rPr>
          <w:b/>
          <w:bCs/>
        </w:rPr>
      </w:pPr>
    </w:p>
    <w:p w14:paraId="4B39FC0A" w14:textId="77777777" w:rsidR="00E44840" w:rsidRDefault="00E44840" w:rsidP="00DD0B52">
      <w:pPr>
        <w:rPr>
          <w:b/>
          <w:bCs/>
        </w:rPr>
      </w:pPr>
    </w:p>
    <w:p w14:paraId="0A86EB52" w14:textId="77777777" w:rsidR="00E44840" w:rsidRDefault="00E44840" w:rsidP="00DD0B52">
      <w:pPr>
        <w:rPr>
          <w:b/>
          <w:bCs/>
        </w:rPr>
      </w:pPr>
    </w:p>
    <w:p w14:paraId="74FE5A8A" w14:textId="77777777" w:rsidR="00E44840" w:rsidRDefault="00E44840" w:rsidP="00DD0B52">
      <w:pPr>
        <w:rPr>
          <w:b/>
          <w:bCs/>
        </w:rPr>
      </w:pPr>
    </w:p>
    <w:p w14:paraId="5CE45159" w14:textId="77777777" w:rsidR="00CF3F26" w:rsidRDefault="00CF3F26" w:rsidP="00DD0B52"/>
    <w:p w14:paraId="3E11AEDB" w14:textId="77777777" w:rsidR="00AC3520" w:rsidRDefault="00AC3520" w:rsidP="00DD0B52"/>
    <w:p w14:paraId="476DD423" w14:textId="77777777" w:rsidR="001E33AA" w:rsidRDefault="001E33AA" w:rsidP="00DD0B52"/>
    <w:p w14:paraId="5B700E9E" w14:textId="77777777" w:rsidR="00AC3520" w:rsidRDefault="00AC3520" w:rsidP="00DD0B52"/>
    <w:tbl>
      <w:tblPr>
        <w:tblpPr w:leftFromText="180" w:rightFromText="180" w:vertAnchor="text" w:horzAnchor="margin" w:tblpXSpec="right" w:tblpY="-52"/>
        <w:tblW w:w="6718" w:type="dxa"/>
        <w:tblCellSpacing w:w="15" w:type="dxa"/>
        <w:tblCellMar>
          <w:top w:w="15" w:type="dxa"/>
          <w:left w:w="15" w:type="dxa"/>
          <w:bottom w:w="15" w:type="dxa"/>
          <w:right w:w="15" w:type="dxa"/>
        </w:tblCellMar>
        <w:tblLook w:val="04A0" w:firstRow="1" w:lastRow="0" w:firstColumn="1" w:lastColumn="0" w:noHBand="0" w:noVBand="1"/>
      </w:tblPr>
      <w:tblGrid>
        <w:gridCol w:w="2142"/>
        <w:gridCol w:w="950"/>
        <w:gridCol w:w="713"/>
        <w:gridCol w:w="825"/>
        <w:gridCol w:w="1043"/>
        <w:gridCol w:w="1045"/>
      </w:tblGrid>
      <w:tr w:rsidR="00E44840" w:rsidRPr="00E44840" w14:paraId="76E756F0" w14:textId="77777777" w:rsidTr="00E44840">
        <w:trPr>
          <w:trHeight w:val="547"/>
          <w:tblHeader/>
          <w:tblCellSpacing w:w="15" w:type="dxa"/>
        </w:trPr>
        <w:tc>
          <w:tcPr>
            <w:tcW w:w="0" w:type="auto"/>
            <w:tcBorders>
              <w:top w:val="single" w:sz="4" w:space="0" w:color="auto"/>
            </w:tcBorders>
            <w:vAlign w:val="center"/>
            <w:hideMark/>
          </w:tcPr>
          <w:p w14:paraId="74ED9D4F" w14:textId="77777777" w:rsidR="00E44840" w:rsidRPr="00E44840" w:rsidRDefault="00E44840" w:rsidP="00DD0B52">
            <w:pPr>
              <w:rPr>
                <w:b/>
                <w:bCs/>
                <w:sz w:val="22"/>
                <w:szCs w:val="22"/>
              </w:rPr>
            </w:pPr>
            <w:r w:rsidRPr="00E44840">
              <w:rPr>
                <w:b/>
                <w:bCs/>
                <w:sz w:val="22"/>
                <w:szCs w:val="22"/>
              </w:rPr>
              <w:t>Parameter</w:t>
            </w:r>
          </w:p>
        </w:tc>
        <w:tc>
          <w:tcPr>
            <w:tcW w:w="0" w:type="auto"/>
            <w:tcBorders>
              <w:top w:val="single" w:sz="4" w:space="0" w:color="auto"/>
            </w:tcBorders>
            <w:vAlign w:val="center"/>
            <w:hideMark/>
          </w:tcPr>
          <w:p w14:paraId="5AB8DEB4" w14:textId="77777777" w:rsidR="00E44840" w:rsidRPr="00E44840" w:rsidRDefault="00E44840" w:rsidP="00DD0B52">
            <w:pPr>
              <w:rPr>
                <w:b/>
                <w:bCs/>
                <w:sz w:val="22"/>
                <w:szCs w:val="22"/>
              </w:rPr>
            </w:pPr>
            <w:r w:rsidRPr="00E44840">
              <w:rPr>
                <w:b/>
                <w:bCs/>
                <w:sz w:val="22"/>
                <w:szCs w:val="22"/>
              </w:rPr>
              <w:t>Std. Err.</w:t>
            </w:r>
          </w:p>
        </w:tc>
        <w:tc>
          <w:tcPr>
            <w:tcW w:w="0" w:type="auto"/>
            <w:tcBorders>
              <w:top w:val="single" w:sz="4" w:space="0" w:color="auto"/>
            </w:tcBorders>
            <w:vAlign w:val="center"/>
            <w:hideMark/>
          </w:tcPr>
          <w:p w14:paraId="014474BD" w14:textId="77777777" w:rsidR="00E44840" w:rsidRPr="00E44840" w:rsidRDefault="00E44840" w:rsidP="00DD0B52">
            <w:pPr>
              <w:rPr>
                <w:b/>
                <w:bCs/>
                <w:sz w:val="22"/>
                <w:szCs w:val="22"/>
              </w:rPr>
            </w:pPr>
            <w:r w:rsidRPr="00E44840">
              <w:rPr>
                <w:b/>
                <w:bCs/>
                <w:sz w:val="22"/>
                <w:szCs w:val="22"/>
              </w:rPr>
              <w:t>T-stat</w:t>
            </w:r>
          </w:p>
        </w:tc>
        <w:tc>
          <w:tcPr>
            <w:tcW w:w="0" w:type="auto"/>
            <w:tcBorders>
              <w:top w:val="single" w:sz="4" w:space="0" w:color="auto"/>
            </w:tcBorders>
            <w:vAlign w:val="center"/>
            <w:hideMark/>
          </w:tcPr>
          <w:p w14:paraId="3A3F25DE" w14:textId="77777777" w:rsidR="00E44840" w:rsidRPr="00E44840" w:rsidRDefault="00E44840" w:rsidP="00DD0B52">
            <w:pPr>
              <w:rPr>
                <w:b/>
                <w:bCs/>
                <w:sz w:val="22"/>
                <w:szCs w:val="22"/>
              </w:rPr>
            </w:pPr>
            <w:r w:rsidRPr="00E44840">
              <w:rPr>
                <w:b/>
                <w:bCs/>
                <w:sz w:val="22"/>
                <w:szCs w:val="22"/>
              </w:rPr>
              <w:t>P-value</w:t>
            </w:r>
          </w:p>
        </w:tc>
        <w:tc>
          <w:tcPr>
            <w:tcW w:w="0" w:type="auto"/>
            <w:tcBorders>
              <w:top w:val="single" w:sz="4" w:space="0" w:color="auto"/>
            </w:tcBorders>
            <w:vAlign w:val="center"/>
            <w:hideMark/>
          </w:tcPr>
          <w:p w14:paraId="239C79C3" w14:textId="77777777" w:rsidR="00E44840" w:rsidRPr="00E44840" w:rsidRDefault="00E44840" w:rsidP="00DD0B52">
            <w:pPr>
              <w:rPr>
                <w:b/>
                <w:bCs/>
                <w:sz w:val="22"/>
                <w:szCs w:val="22"/>
              </w:rPr>
            </w:pPr>
            <w:r w:rsidRPr="00E44840">
              <w:rPr>
                <w:b/>
                <w:bCs/>
                <w:sz w:val="22"/>
                <w:szCs w:val="22"/>
              </w:rPr>
              <w:t>Lower CI</w:t>
            </w:r>
          </w:p>
        </w:tc>
        <w:tc>
          <w:tcPr>
            <w:tcW w:w="0" w:type="auto"/>
            <w:tcBorders>
              <w:top w:val="single" w:sz="4" w:space="0" w:color="auto"/>
            </w:tcBorders>
            <w:vAlign w:val="center"/>
            <w:hideMark/>
          </w:tcPr>
          <w:p w14:paraId="44F7F10D" w14:textId="77777777" w:rsidR="00E44840" w:rsidRPr="00E44840" w:rsidRDefault="00E44840" w:rsidP="00DD0B52">
            <w:pPr>
              <w:rPr>
                <w:b/>
                <w:bCs/>
                <w:sz w:val="22"/>
                <w:szCs w:val="22"/>
              </w:rPr>
            </w:pPr>
            <w:r w:rsidRPr="00E44840">
              <w:rPr>
                <w:b/>
                <w:bCs/>
                <w:sz w:val="22"/>
                <w:szCs w:val="22"/>
              </w:rPr>
              <w:t>Upper CI</w:t>
            </w:r>
          </w:p>
        </w:tc>
      </w:tr>
      <w:tr w:rsidR="00E44840" w:rsidRPr="00E44840" w14:paraId="5CCF94D1" w14:textId="77777777" w:rsidTr="00E44840">
        <w:trPr>
          <w:trHeight w:val="526"/>
          <w:tblCellSpacing w:w="15" w:type="dxa"/>
        </w:trPr>
        <w:tc>
          <w:tcPr>
            <w:tcW w:w="0" w:type="auto"/>
            <w:tcBorders>
              <w:top w:val="single" w:sz="4" w:space="0" w:color="auto"/>
            </w:tcBorders>
            <w:vAlign w:val="center"/>
            <w:hideMark/>
          </w:tcPr>
          <w:p w14:paraId="23FF1F83" w14:textId="77777777" w:rsidR="00E44840" w:rsidRPr="00E44840" w:rsidRDefault="00E44840" w:rsidP="00DD0B52">
            <w:pPr>
              <w:rPr>
                <w:sz w:val="22"/>
                <w:szCs w:val="22"/>
              </w:rPr>
            </w:pPr>
            <w:r w:rsidRPr="00E44840">
              <w:rPr>
                <w:b/>
                <w:bCs/>
                <w:sz w:val="22"/>
                <w:szCs w:val="22"/>
              </w:rPr>
              <w:t>const</w:t>
            </w:r>
          </w:p>
        </w:tc>
        <w:tc>
          <w:tcPr>
            <w:tcW w:w="0" w:type="auto"/>
            <w:tcBorders>
              <w:top w:val="single" w:sz="4" w:space="0" w:color="auto"/>
            </w:tcBorders>
            <w:vAlign w:val="center"/>
            <w:hideMark/>
          </w:tcPr>
          <w:p w14:paraId="0D68B4D7" w14:textId="77777777" w:rsidR="00E44840" w:rsidRPr="00E44840" w:rsidRDefault="00E44840" w:rsidP="00DD0B52">
            <w:pPr>
              <w:rPr>
                <w:sz w:val="22"/>
                <w:szCs w:val="22"/>
              </w:rPr>
            </w:pPr>
            <w:r w:rsidRPr="00E44840">
              <w:rPr>
                <w:sz w:val="22"/>
                <w:szCs w:val="22"/>
              </w:rPr>
              <w:t>4.7242</w:t>
            </w:r>
          </w:p>
        </w:tc>
        <w:tc>
          <w:tcPr>
            <w:tcW w:w="0" w:type="auto"/>
            <w:tcBorders>
              <w:top w:val="single" w:sz="4" w:space="0" w:color="auto"/>
            </w:tcBorders>
            <w:vAlign w:val="center"/>
            <w:hideMark/>
          </w:tcPr>
          <w:p w14:paraId="04EE6431" w14:textId="77777777" w:rsidR="00E44840" w:rsidRPr="00E44840" w:rsidRDefault="00E44840" w:rsidP="00DD0B52">
            <w:pPr>
              <w:rPr>
                <w:sz w:val="22"/>
                <w:szCs w:val="22"/>
              </w:rPr>
            </w:pPr>
            <w:r w:rsidRPr="00E44840">
              <w:rPr>
                <w:sz w:val="22"/>
                <w:szCs w:val="22"/>
              </w:rPr>
              <w:t>0.9803</w:t>
            </w:r>
          </w:p>
        </w:tc>
        <w:tc>
          <w:tcPr>
            <w:tcW w:w="0" w:type="auto"/>
            <w:tcBorders>
              <w:top w:val="single" w:sz="4" w:space="0" w:color="auto"/>
            </w:tcBorders>
            <w:vAlign w:val="center"/>
            <w:hideMark/>
          </w:tcPr>
          <w:p w14:paraId="4886553C" w14:textId="77777777" w:rsidR="00E44840" w:rsidRPr="00E44840" w:rsidRDefault="00E44840" w:rsidP="00DD0B52">
            <w:pPr>
              <w:rPr>
                <w:sz w:val="22"/>
                <w:szCs w:val="22"/>
              </w:rPr>
            </w:pPr>
            <w:r w:rsidRPr="00E44840">
              <w:rPr>
                <w:sz w:val="22"/>
                <w:szCs w:val="22"/>
              </w:rPr>
              <w:t>4.8191</w:t>
            </w:r>
          </w:p>
        </w:tc>
        <w:tc>
          <w:tcPr>
            <w:tcW w:w="0" w:type="auto"/>
            <w:tcBorders>
              <w:top w:val="single" w:sz="4" w:space="0" w:color="auto"/>
            </w:tcBorders>
            <w:vAlign w:val="center"/>
            <w:hideMark/>
          </w:tcPr>
          <w:p w14:paraId="6480C9CB" w14:textId="77777777" w:rsidR="00E44840" w:rsidRPr="00E44840" w:rsidRDefault="00E44840" w:rsidP="00DD0B52">
            <w:pPr>
              <w:rPr>
                <w:sz w:val="22"/>
                <w:szCs w:val="22"/>
              </w:rPr>
            </w:pPr>
            <w:r w:rsidRPr="00E44840">
              <w:rPr>
                <w:sz w:val="22"/>
                <w:szCs w:val="22"/>
              </w:rPr>
              <w:t>0.0000</w:t>
            </w:r>
          </w:p>
        </w:tc>
        <w:tc>
          <w:tcPr>
            <w:tcW w:w="0" w:type="auto"/>
            <w:tcBorders>
              <w:top w:val="single" w:sz="4" w:space="0" w:color="auto"/>
            </w:tcBorders>
            <w:vAlign w:val="center"/>
            <w:hideMark/>
          </w:tcPr>
          <w:p w14:paraId="3BCA5946" w14:textId="77777777" w:rsidR="00E44840" w:rsidRPr="00E44840" w:rsidRDefault="00E44840" w:rsidP="00DD0B52">
            <w:pPr>
              <w:rPr>
                <w:sz w:val="22"/>
                <w:szCs w:val="22"/>
              </w:rPr>
            </w:pPr>
            <w:r w:rsidRPr="00E44840">
              <w:rPr>
                <w:sz w:val="22"/>
                <w:szCs w:val="22"/>
              </w:rPr>
              <w:t>2.7971</w:t>
            </w:r>
          </w:p>
        </w:tc>
      </w:tr>
      <w:tr w:rsidR="00E44840" w:rsidRPr="00E44840" w14:paraId="767B0D01" w14:textId="77777777" w:rsidTr="00E44840">
        <w:trPr>
          <w:trHeight w:val="547"/>
          <w:tblCellSpacing w:w="15" w:type="dxa"/>
        </w:trPr>
        <w:tc>
          <w:tcPr>
            <w:tcW w:w="0" w:type="auto"/>
            <w:vAlign w:val="center"/>
            <w:hideMark/>
          </w:tcPr>
          <w:p w14:paraId="228CED38" w14:textId="77777777" w:rsidR="00E44840" w:rsidRPr="00E44840" w:rsidRDefault="00E44840" w:rsidP="00DD0B52">
            <w:pPr>
              <w:rPr>
                <w:sz w:val="22"/>
                <w:szCs w:val="22"/>
              </w:rPr>
            </w:pPr>
            <w:r w:rsidRPr="00E44840">
              <w:rPr>
                <w:b/>
                <w:bCs/>
                <w:sz w:val="22"/>
                <w:szCs w:val="22"/>
              </w:rPr>
              <w:t>LifeExpectancy</w:t>
            </w:r>
          </w:p>
        </w:tc>
        <w:tc>
          <w:tcPr>
            <w:tcW w:w="0" w:type="auto"/>
            <w:vAlign w:val="center"/>
            <w:hideMark/>
          </w:tcPr>
          <w:p w14:paraId="13754846" w14:textId="77777777" w:rsidR="00E44840" w:rsidRPr="00E44840" w:rsidRDefault="00E44840" w:rsidP="00DD0B52">
            <w:pPr>
              <w:rPr>
                <w:sz w:val="22"/>
                <w:szCs w:val="22"/>
              </w:rPr>
            </w:pPr>
            <w:r w:rsidRPr="00E44840">
              <w:rPr>
                <w:sz w:val="22"/>
                <w:szCs w:val="22"/>
              </w:rPr>
              <w:t>-0.1071</w:t>
            </w:r>
          </w:p>
        </w:tc>
        <w:tc>
          <w:tcPr>
            <w:tcW w:w="0" w:type="auto"/>
            <w:vAlign w:val="center"/>
            <w:hideMark/>
          </w:tcPr>
          <w:p w14:paraId="1562717C" w14:textId="77777777" w:rsidR="00E44840" w:rsidRPr="00E44840" w:rsidRDefault="00E44840" w:rsidP="00DD0B52">
            <w:pPr>
              <w:rPr>
                <w:sz w:val="22"/>
                <w:szCs w:val="22"/>
              </w:rPr>
            </w:pPr>
            <w:r w:rsidRPr="00E44840">
              <w:rPr>
                <w:sz w:val="22"/>
                <w:szCs w:val="22"/>
              </w:rPr>
              <w:t>0.0052</w:t>
            </w:r>
          </w:p>
        </w:tc>
        <w:tc>
          <w:tcPr>
            <w:tcW w:w="0" w:type="auto"/>
            <w:vAlign w:val="center"/>
            <w:hideMark/>
          </w:tcPr>
          <w:p w14:paraId="7CA86388" w14:textId="77777777" w:rsidR="00E44840" w:rsidRPr="00E44840" w:rsidRDefault="00E44840" w:rsidP="00DD0B52">
            <w:pPr>
              <w:rPr>
                <w:sz w:val="22"/>
                <w:szCs w:val="22"/>
              </w:rPr>
            </w:pPr>
            <w:r w:rsidRPr="00E44840">
              <w:rPr>
                <w:sz w:val="22"/>
                <w:szCs w:val="22"/>
              </w:rPr>
              <w:t>-20.594</w:t>
            </w:r>
          </w:p>
        </w:tc>
        <w:tc>
          <w:tcPr>
            <w:tcW w:w="0" w:type="auto"/>
            <w:vAlign w:val="center"/>
            <w:hideMark/>
          </w:tcPr>
          <w:p w14:paraId="62FF4F2A" w14:textId="77777777" w:rsidR="00E44840" w:rsidRPr="00E44840" w:rsidRDefault="00E44840" w:rsidP="00DD0B52">
            <w:pPr>
              <w:rPr>
                <w:sz w:val="22"/>
                <w:szCs w:val="22"/>
              </w:rPr>
            </w:pPr>
            <w:r w:rsidRPr="00E44840">
              <w:rPr>
                <w:sz w:val="22"/>
                <w:szCs w:val="22"/>
              </w:rPr>
              <w:t>0.0000</w:t>
            </w:r>
          </w:p>
        </w:tc>
        <w:tc>
          <w:tcPr>
            <w:tcW w:w="0" w:type="auto"/>
            <w:vAlign w:val="center"/>
            <w:hideMark/>
          </w:tcPr>
          <w:p w14:paraId="778CFAB6" w14:textId="77777777" w:rsidR="00E44840" w:rsidRPr="00E44840" w:rsidRDefault="00E44840" w:rsidP="00DD0B52">
            <w:pPr>
              <w:rPr>
                <w:sz w:val="22"/>
                <w:szCs w:val="22"/>
              </w:rPr>
            </w:pPr>
            <w:r w:rsidRPr="00E44840">
              <w:rPr>
                <w:sz w:val="22"/>
                <w:szCs w:val="22"/>
              </w:rPr>
              <w:t>-0.1173</w:t>
            </w:r>
          </w:p>
        </w:tc>
      </w:tr>
      <w:tr w:rsidR="00E44840" w:rsidRPr="00E44840" w14:paraId="624A5E0E" w14:textId="77777777" w:rsidTr="00E44840">
        <w:trPr>
          <w:trHeight w:val="547"/>
          <w:tblCellSpacing w:w="15" w:type="dxa"/>
        </w:trPr>
        <w:tc>
          <w:tcPr>
            <w:tcW w:w="0" w:type="auto"/>
            <w:vAlign w:val="center"/>
            <w:hideMark/>
          </w:tcPr>
          <w:p w14:paraId="69AEC6FD" w14:textId="77777777" w:rsidR="00E44840" w:rsidRPr="00E44840" w:rsidRDefault="00E44840" w:rsidP="00DD0B52">
            <w:pPr>
              <w:rPr>
                <w:sz w:val="22"/>
                <w:szCs w:val="22"/>
              </w:rPr>
            </w:pPr>
            <w:r w:rsidRPr="00E44840">
              <w:rPr>
                <w:b/>
                <w:bCs/>
                <w:sz w:val="22"/>
                <w:szCs w:val="22"/>
              </w:rPr>
              <w:t>Economic_Indicator</w:t>
            </w:r>
          </w:p>
        </w:tc>
        <w:tc>
          <w:tcPr>
            <w:tcW w:w="0" w:type="auto"/>
            <w:vAlign w:val="center"/>
            <w:hideMark/>
          </w:tcPr>
          <w:p w14:paraId="7114B9D7" w14:textId="77777777" w:rsidR="00E44840" w:rsidRPr="00E44840" w:rsidRDefault="00E44840" w:rsidP="00DD0B52">
            <w:pPr>
              <w:rPr>
                <w:sz w:val="22"/>
                <w:szCs w:val="22"/>
              </w:rPr>
            </w:pPr>
            <w:r w:rsidRPr="00E44840">
              <w:rPr>
                <w:sz w:val="22"/>
                <w:szCs w:val="22"/>
              </w:rPr>
              <w:t>0.2002</w:t>
            </w:r>
          </w:p>
        </w:tc>
        <w:tc>
          <w:tcPr>
            <w:tcW w:w="0" w:type="auto"/>
            <w:vAlign w:val="center"/>
            <w:hideMark/>
          </w:tcPr>
          <w:p w14:paraId="432A5674" w14:textId="77777777" w:rsidR="00E44840" w:rsidRPr="00E44840" w:rsidRDefault="00E44840" w:rsidP="00DD0B52">
            <w:pPr>
              <w:rPr>
                <w:sz w:val="22"/>
                <w:szCs w:val="22"/>
              </w:rPr>
            </w:pPr>
            <w:r w:rsidRPr="00E44840">
              <w:rPr>
                <w:sz w:val="22"/>
                <w:szCs w:val="22"/>
              </w:rPr>
              <w:t>0.0321</w:t>
            </w:r>
          </w:p>
        </w:tc>
        <w:tc>
          <w:tcPr>
            <w:tcW w:w="0" w:type="auto"/>
            <w:vAlign w:val="center"/>
            <w:hideMark/>
          </w:tcPr>
          <w:p w14:paraId="4A4388F7" w14:textId="77777777" w:rsidR="00E44840" w:rsidRPr="00E44840" w:rsidRDefault="00E44840" w:rsidP="00DD0B52">
            <w:pPr>
              <w:rPr>
                <w:sz w:val="22"/>
                <w:szCs w:val="22"/>
              </w:rPr>
            </w:pPr>
            <w:r w:rsidRPr="00E44840">
              <w:rPr>
                <w:sz w:val="22"/>
                <w:szCs w:val="22"/>
              </w:rPr>
              <w:t>6.2370</w:t>
            </w:r>
          </w:p>
        </w:tc>
        <w:tc>
          <w:tcPr>
            <w:tcW w:w="0" w:type="auto"/>
            <w:vAlign w:val="center"/>
            <w:hideMark/>
          </w:tcPr>
          <w:p w14:paraId="1BEA49FE" w14:textId="77777777" w:rsidR="00E44840" w:rsidRPr="00E44840" w:rsidRDefault="00E44840" w:rsidP="00DD0B52">
            <w:pPr>
              <w:rPr>
                <w:sz w:val="22"/>
                <w:szCs w:val="22"/>
              </w:rPr>
            </w:pPr>
            <w:r w:rsidRPr="00E44840">
              <w:rPr>
                <w:sz w:val="22"/>
                <w:szCs w:val="22"/>
              </w:rPr>
              <w:t>0.0000</w:t>
            </w:r>
          </w:p>
        </w:tc>
        <w:tc>
          <w:tcPr>
            <w:tcW w:w="0" w:type="auto"/>
            <w:vAlign w:val="center"/>
            <w:hideMark/>
          </w:tcPr>
          <w:p w14:paraId="06255C16" w14:textId="77777777" w:rsidR="00E44840" w:rsidRPr="00E44840" w:rsidRDefault="00E44840" w:rsidP="00DD0B52">
            <w:pPr>
              <w:rPr>
                <w:sz w:val="22"/>
                <w:szCs w:val="22"/>
              </w:rPr>
            </w:pPr>
            <w:r w:rsidRPr="00E44840">
              <w:rPr>
                <w:sz w:val="22"/>
                <w:szCs w:val="22"/>
              </w:rPr>
              <w:t>0.1371</w:t>
            </w:r>
          </w:p>
        </w:tc>
      </w:tr>
    </w:tbl>
    <w:p w14:paraId="5A07236A" w14:textId="77777777" w:rsidR="00E44840" w:rsidRDefault="00E44840" w:rsidP="00DD0B52">
      <w:r w:rsidRPr="00E44840">
        <w:rPr>
          <w:b/>
          <w:bCs/>
        </w:rPr>
        <w:t>Table 4</w:t>
      </w:r>
      <w:r>
        <w:t xml:space="preserve"> Parameter Estimation for </w:t>
      </w:r>
      <w:r w:rsidRPr="00E44840">
        <w:t>Life</w:t>
      </w:r>
      <w:r>
        <w:t xml:space="preserve"> Expectancy and Economic Indicator on Fertility Rate</w:t>
      </w:r>
    </w:p>
    <w:p w14:paraId="5EE67BAA" w14:textId="77777777" w:rsidR="00E44840" w:rsidRDefault="00E44840" w:rsidP="00DD0B52"/>
    <w:p w14:paraId="4B2300A6" w14:textId="77777777" w:rsidR="00E44840" w:rsidRPr="007D5E4A" w:rsidRDefault="00E44840" w:rsidP="00DD0B52"/>
    <w:p w14:paraId="18DCBC9E" w14:textId="77777777" w:rsidR="00CB2EB7" w:rsidRPr="007D5E4A" w:rsidRDefault="00CB2EB7" w:rsidP="00DD0B52">
      <w:pPr>
        <w:rPr>
          <w:b/>
          <w:bCs/>
        </w:rPr>
      </w:pPr>
    </w:p>
    <w:p w14:paraId="673CCAD8" w14:textId="77777777" w:rsidR="00E44840" w:rsidRDefault="00E44840" w:rsidP="00DD0B52">
      <w:pPr>
        <w:rPr>
          <w:b/>
          <w:bCs/>
        </w:rPr>
      </w:pPr>
    </w:p>
    <w:p w14:paraId="223EAB52" w14:textId="77777777" w:rsidR="001E33AA" w:rsidRDefault="001E33AA" w:rsidP="00DD0B52">
      <w:pPr>
        <w:rPr>
          <w:b/>
          <w:bCs/>
        </w:rPr>
      </w:pPr>
    </w:p>
    <w:p w14:paraId="593F1D03" w14:textId="77777777" w:rsidR="001E33AA" w:rsidRDefault="001E33AA" w:rsidP="00DD0B52">
      <w:pPr>
        <w:rPr>
          <w:b/>
          <w:bCs/>
        </w:rPr>
      </w:pPr>
    </w:p>
    <w:p w14:paraId="6548ED14" w14:textId="77777777" w:rsidR="001E33AA" w:rsidRDefault="001E33AA" w:rsidP="00DD0B52">
      <w:pPr>
        <w:rPr>
          <w:b/>
          <w:bCs/>
        </w:rPr>
      </w:pPr>
    </w:p>
    <w:p w14:paraId="39BC152C" w14:textId="77777777" w:rsidR="001E33AA" w:rsidRDefault="001E33AA" w:rsidP="00DD0B52">
      <w:pPr>
        <w:rPr>
          <w:b/>
          <w:bCs/>
        </w:rPr>
      </w:pPr>
    </w:p>
    <w:p w14:paraId="7F850AF4" w14:textId="77777777" w:rsidR="000A2B77" w:rsidRDefault="000A2B77" w:rsidP="00DD0B52">
      <w:pPr>
        <w:rPr>
          <w:b/>
          <w:bCs/>
        </w:rPr>
      </w:pPr>
    </w:p>
    <w:p w14:paraId="563CF48B" w14:textId="77777777" w:rsidR="00930B9D" w:rsidRDefault="00930B9D" w:rsidP="00DD0B52">
      <w:pPr>
        <w:rPr>
          <w:b/>
          <w:bCs/>
        </w:rPr>
      </w:pPr>
    </w:p>
    <w:p w14:paraId="38EA1640" w14:textId="77777777" w:rsidR="00930B9D" w:rsidRDefault="00930B9D" w:rsidP="00DD0B52">
      <w:pPr>
        <w:rPr>
          <w:b/>
          <w:bCs/>
        </w:rPr>
      </w:pPr>
    </w:p>
    <w:p w14:paraId="31D5E4BD" w14:textId="77777777" w:rsidR="00930B9D" w:rsidRDefault="00930B9D" w:rsidP="00DD0B52">
      <w:pPr>
        <w:rPr>
          <w:b/>
          <w:bCs/>
        </w:rPr>
      </w:pPr>
    </w:p>
    <w:p w14:paraId="3849298F" w14:textId="77777777" w:rsidR="00930B9D" w:rsidRDefault="00930B9D" w:rsidP="00DD0B52">
      <w:pPr>
        <w:rPr>
          <w:b/>
          <w:bCs/>
        </w:rPr>
      </w:pPr>
    </w:p>
    <w:p w14:paraId="2E0227E8" w14:textId="75B4E885" w:rsidR="00CF3F26" w:rsidRDefault="001E33AA" w:rsidP="00DD0B52">
      <w:pPr>
        <w:rPr>
          <w:b/>
          <w:bCs/>
        </w:rPr>
      </w:pPr>
      <w:r>
        <w:rPr>
          <w:b/>
          <w:bCs/>
        </w:rPr>
        <w:t>6</w:t>
      </w:r>
      <w:r w:rsidR="00CF3F26" w:rsidRPr="007D5E4A">
        <w:rPr>
          <w:b/>
          <w:bCs/>
        </w:rPr>
        <w:t>.2.2 Impact of Population and Life Expectancy on Fertility Rates</w:t>
      </w:r>
    </w:p>
    <w:p w14:paraId="581A6C4D" w14:textId="77777777" w:rsidR="000A2B77" w:rsidRPr="007D5E4A" w:rsidRDefault="000A2B77" w:rsidP="00DD0B52">
      <w:pPr>
        <w:rPr>
          <w:b/>
          <w:bCs/>
        </w:rPr>
      </w:pPr>
    </w:p>
    <w:tbl>
      <w:tblPr>
        <w:tblpPr w:leftFromText="180" w:rightFromText="180" w:vertAnchor="text" w:horzAnchor="page" w:tblpX="4730" w:tblpY="73"/>
        <w:tblW w:w="4836" w:type="dxa"/>
        <w:tblCellSpacing w:w="15" w:type="dxa"/>
        <w:tblCellMar>
          <w:top w:w="15" w:type="dxa"/>
          <w:left w:w="15" w:type="dxa"/>
          <w:bottom w:w="15" w:type="dxa"/>
          <w:right w:w="15" w:type="dxa"/>
        </w:tblCellMar>
        <w:tblLook w:val="04A0" w:firstRow="1" w:lastRow="0" w:firstColumn="1" w:lastColumn="0" w:noHBand="0" w:noVBand="1"/>
      </w:tblPr>
      <w:tblGrid>
        <w:gridCol w:w="3063"/>
        <w:gridCol w:w="1773"/>
      </w:tblGrid>
      <w:tr w:rsidR="005E785D" w:rsidRPr="005E785D" w14:paraId="35DA5601" w14:textId="77777777" w:rsidTr="005E785D">
        <w:trPr>
          <w:trHeight w:val="373"/>
          <w:tblCellSpacing w:w="15" w:type="dxa"/>
        </w:trPr>
        <w:tc>
          <w:tcPr>
            <w:tcW w:w="0" w:type="auto"/>
            <w:tcBorders>
              <w:top w:val="single" w:sz="4" w:space="0" w:color="auto"/>
            </w:tcBorders>
            <w:vAlign w:val="center"/>
            <w:hideMark/>
          </w:tcPr>
          <w:p w14:paraId="08B9A61C" w14:textId="77777777" w:rsidR="005E785D" w:rsidRPr="005E785D" w:rsidRDefault="005E785D" w:rsidP="00DD0B52">
            <w:r w:rsidRPr="005E785D">
              <w:rPr>
                <w:b/>
                <w:bCs/>
              </w:rPr>
              <w:t>Dep. Variable:</w:t>
            </w:r>
          </w:p>
        </w:tc>
        <w:tc>
          <w:tcPr>
            <w:tcW w:w="0" w:type="auto"/>
            <w:tcBorders>
              <w:top w:val="single" w:sz="4" w:space="0" w:color="auto"/>
            </w:tcBorders>
            <w:vAlign w:val="center"/>
            <w:hideMark/>
          </w:tcPr>
          <w:p w14:paraId="5526355F" w14:textId="77777777" w:rsidR="005E785D" w:rsidRPr="005E785D" w:rsidRDefault="005E785D" w:rsidP="00DD0B52">
            <w:r w:rsidRPr="005E785D">
              <w:t>F</w:t>
            </w:r>
            <w:r>
              <w:t xml:space="preserve">ertility Rate </w:t>
            </w:r>
          </w:p>
        </w:tc>
      </w:tr>
      <w:tr w:rsidR="005E785D" w:rsidRPr="005E785D" w14:paraId="737F9CB5" w14:textId="77777777" w:rsidTr="005E785D">
        <w:trPr>
          <w:trHeight w:val="373"/>
          <w:tblCellSpacing w:w="15" w:type="dxa"/>
        </w:trPr>
        <w:tc>
          <w:tcPr>
            <w:tcW w:w="0" w:type="auto"/>
            <w:tcBorders>
              <w:top w:val="single" w:sz="4" w:space="0" w:color="auto"/>
            </w:tcBorders>
            <w:vAlign w:val="center"/>
            <w:hideMark/>
          </w:tcPr>
          <w:p w14:paraId="14222BB3" w14:textId="77777777" w:rsidR="005E785D" w:rsidRPr="005E785D" w:rsidRDefault="005E785D" w:rsidP="00DD0B52">
            <w:r w:rsidRPr="005E785D">
              <w:rPr>
                <w:b/>
                <w:bCs/>
              </w:rPr>
              <w:t>Estimator:</w:t>
            </w:r>
          </w:p>
        </w:tc>
        <w:tc>
          <w:tcPr>
            <w:tcW w:w="0" w:type="auto"/>
            <w:tcBorders>
              <w:top w:val="single" w:sz="4" w:space="0" w:color="auto"/>
            </w:tcBorders>
            <w:vAlign w:val="center"/>
            <w:hideMark/>
          </w:tcPr>
          <w:p w14:paraId="7DF32281" w14:textId="77777777" w:rsidR="005E785D" w:rsidRPr="005E785D" w:rsidRDefault="005E785D" w:rsidP="00DD0B52">
            <w:r w:rsidRPr="005E785D">
              <w:t>PanelOLS</w:t>
            </w:r>
          </w:p>
        </w:tc>
      </w:tr>
      <w:tr w:rsidR="005E785D" w:rsidRPr="005E785D" w14:paraId="23FAE0E9" w14:textId="77777777" w:rsidTr="005E785D">
        <w:trPr>
          <w:trHeight w:val="373"/>
          <w:tblCellSpacing w:w="15" w:type="dxa"/>
        </w:trPr>
        <w:tc>
          <w:tcPr>
            <w:tcW w:w="0" w:type="auto"/>
            <w:vAlign w:val="center"/>
            <w:hideMark/>
          </w:tcPr>
          <w:p w14:paraId="01ABB0B0" w14:textId="77777777" w:rsidR="005E785D" w:rsidRPr="005E785D" w:rsidRDefault="005E785D" w:rsidP="00DD0B52">
            <w:r w:rsidRPr="005E785D">
              <w:rPr>
                <w:b/>
                <w:bCs/>
              </w:rPr>
              <w:t>No. Observations:</w:t>
            </w:r>
          </w:p>
        </w:tc>
        <w:tc>
          <w:tcPr>
            <w:tcW w:w="0" w:type="auto"/>
            <w:vAlign w:val="center"/>
            <w:hideMark/>
          </w:tcPr>
          <w:p w14:paraId="32A5F6D4" w14:textId="77777777" w:rsidR="005E785D" w:rsidRPr="005E785D" w:rsidRDefault="005E785D" w:rsidP="00DD0B52">
            <w:r w:rsidRPr="005E785D">
              <w:t>10002</w:t>
            </w:r>
          </w:p>
        </w:tc>
      </w:tr>
      <w:tr w:rsidR="005E785D" w:rsidRPr="005E785D" w14:paraId="3C6064AE" w14:textId="77777777" w:rsidTr="005E785D">
        <w:trPr>
          <w:trHeight w:val="352"/>
          <w:tblCellSpacing w:w="15" w:type="dxa"/>
        </w:trPr>
        <w:tc>
          <w:tcPr>
            <w:tcW w:w="0" w:type="auto"/>
            <w:vAlign w:val="center"/>
            <w:hideMark/>
          </w:tcPr>
          <w:p w14:paraId="6A931678" w14:textId="77777777" w:rsidR="005E785D" w:rsidRPr="005E785D" w:rsidRDefault="005E785D" w:rsidP="00DD0B52">
            <w:r w:rsidRPr="005E785D">
              <w:rPr>
                <w:b/>
                <w:bCs/>
              </w:rPr>
              <w:t>Cov. Estimator:</w:t>
            </w:r>
          </w:p>
        </w:tc>
        <w:tc>
          <w:tcPr>
            <w:tcW w:w="0" w:type="auto"/>
            <w:vAlign w:val="center"/>
            <w:hideMark/>
          </w:tcPr>
          <w:p w14:paraId="27D1F2E8" w14:textId="77777777" w:rsidR="005E785D" w:rsidRPr="005E785D" w:rsidRDefault="005E785D" w:rsidP="00DD0B52">
            <w:r w:rsidRPr="005E785D">
              <w:t>Unadjusted</w:t>
            </w:r>
          </w:p>
        </w:tc>
      </w:tr>
      <w:tr w:rsidR="005E785D" w:rsidRPr="005E785D" w14:paraId="7BF4EC4B" w14:textId="77777777" w:rsidTr="005E785D">
        <w:trPr>
          <w:trHeight w:val="373"/>
          <w:tblCellSpacing w:w="15" w:type="dxa"/>
        </w:trPr>
        <w:tc>
          <w:tcPr>
            <w:tcW w:w="0" w:type="auto"/>
            <w:vAlign w:val="center"/>
            <w:hideMark/>
          </w:tcPr>
          <w:p w14:paraId="59033C1A" w14:textId="77777777" w:rsidR="005E785D" w:rsidRPr="005E785D" w:rsidRDefault="005E785D" w:rsidP="00DD0B52">
            <w:r w:rsidRPr="005E785D">
              <w:rPr>
                <w:b/>
                <w:bCs/>
              </w:rPr>
              <w:t>R-squared:</w:t>
            </w:r>
          </w:p>
        </w:tc>
        <w:tc>
          <w:tcPr>
            <w:tcW w:w="0" w:type="auto"/>
            <w:vAlign w:val="center"/>
            <w:hideMark/>
          </w:tcPr>
          <w:p w14:paraId="6C25A9ED" w14:textId="77777777" w:rsidR="005E785D" w:rsidRPr="005E785D" w:rsidRDefault="005E785D" w:rsidP="00DD0B52">
            <w:r w:rsidRPr="005E785D">
              <w:t>0.5450</w:t>
            </w:r>
          </w:p>
        </w:tc>
      </w:tr>
      <w:tr w:rsidR="005E785D" w:rsidRPr="005E785D" w14:paraId="70E6C40C" w14:textId="77777777" w:rsidTr="005E785D">
        <w:trPr>
          <w:trHeight w:val="352"/>
          <w:tblCellSpacing w:w="15" w:type="dxa"/>
        </w:trPr>
        <w:tc>
          <w:tcPr>
            <w:tcW w:w="0" w:type="auto"/>
            <w:vAlign w:val="center"/>
            <w:hideMark/>
          </w:tcPr>
          <w:p w14:paraId="7E19FB8B" w14:textId="77777777" w:rsidR="005E785D" w:rsidRPr="005E785D" w:rsidRDefault="005E785D" w:rsidP="00DD0B52">
            <w:r w:rsidRPr="005E785D">
              <w:rPr>
                <w:b/>
                <w:bCs/>
              </w:rPr>
              <w:t>R-squared (Between):</w:t>
            </w:r>
          </w:p>
        </w:tc>
        <w:tc>
          <w:tcPr>
            <w:tcW w:w="0" w:type="auto"/>
            <w:vAlign w:val="center"/>
            <w:hideMark/>
          </w:tcPr>
          <w:p w14:paraId="45D3FEE7" w14:textId="77777777" w:rsidR="005E785D" w:rsidRPr="005E785D" w:rsidRDefault="005E785D" w:rsidP="00DD0B52">
            <w:r w:rsidRPr="005E785D">
              <w:t>0.7597</w:t>
            </w:r>
          </w:p>
        </w:tc>
      </w:tr>
      <w:tr w:rsidR="005E785D" w:rsidRPr="005E785D" w14:paraId="62E49129" w14:textId="77777777" w:rsidTr="005E785D">
        <w:trPr>
          <w:trHeight w:val="373"/>
          <w:tblCellSpacing w:w="15" w:type="dxa"/>
        </w:trPr>
        <w:tc>
          <w:tcPr>
            <w:tcW w:w="0" w:type="auto"/>
            <w:vAlign w:val="center"/>
            <w:hideMark/>
          </w:tcPr>
          <w:p w14:paraId="5FFC0249" w14:textId="77777777" w:rsidR="005E785D" w:rsidRPr="005E785D" w:rsidRDefault="005E785D" w:rsidP="00DD0B52">
            <w:r w:rsidRPr="005E785D">
              <w:rPr>
                <w:b/>
                <w:bCs/>
              </w:rPr>
              <w:t>R-squared (Within):</w:t>
            </w:r>
          </w:p>
        </w:tc>
        <w:tc>
          <w:tcPr>
            <w:tcW w:w="0" w:type="auto"/>
            <w:vAlign w:val="center"/>
            <w:hideMark/>
          </w:tcPr>
          <w:p w14:paraId="61F08328" w14:textId="77777777" w:rsidR="005E785D" w:rsidRPr="005E785D" w:rsidRDefault="005E785D" w:rsidP="00DD0B52">
            <w:r w:rsidRPr="005E785D">
              <w:t>0.5450</w:t>
            </w:r>
          </w:p>
        </w:tc>
      </w:tr>
      <w:tr w:rsidR="005E785D" w:rsidRPr="005E785D" w14:paraId="4A63EBE7" w14:textId="77777777" w:rsidTr="005E785D">
        <w:trPr>
          <w:trHeight w:val="352"/>
          <w:tblCellSpacing w:w="15" w:type="dxa"/>
        </w:trPr>
        <w:tc>
          <w:tcPr>
            <w:tcW w:w="0" w:type="auto"/>
            <w:vAlign w:val="center"/>
            <w:hideMark/>
          </w:tcPr>
          <w:p w14:paraId="75A1C6DB" w14:textId="77777777" w:rsidR="005E785D" w:rsidRPr="005E785D" w:rsidRDefault="005E785D" w:rsidP="00DD0B52">
            <w:r w:rsidRPr="005E785D">
              <w:rPr>
                <w:b/>
                <w:bCs/>
              </w:rPr>
              <w:t>R-squared (Overall):</w:t>
            </w:r>
          </w:p>
        </w:tc>
        <w:tc>
          <w:tcPr>
            <w:tcW w:w="0" w:type="auto"/>
            <w:vAlign w:val="center"/>
            <w:hideMark/>
          </w:tcPr>
          <w:p w14:paraId="5A56AE27" w14:textId="77777777" w:rsidR="005E785D" w:rsidRPr="005E785D" w:rsidRDefault="005E785D" w:rsidP="00DD0B52">
            <w:r w:rsidRPr="005E785D">
              <w:t>0.7009</w:t>
            </w:r>
          </w:p>
        </w:tc>
      </w:tr>
      <w:tr w:rsidR="005E785D" w:rsidRPr="005E785D" w14:paraId="54889E42" w14:textId="77777777" w:rsidTr="005E785D">
        <w:trPr>
          <w:trHeight w:val="373"/>
          <w:tblCellSpacing w:w="15" w:type="dxa"/>
        </w:trPr>
        <w:tc>
          <w:tcPr>
            <w:tcW w:w="0" w:type="auto"/>
            <w:vAlign w:val="center"/>
            <w:hideMark/>
          </w:tcPr>
          <w:p w14:paraId="765DDFAC" w14:textId="77777777" w:rsidR="005E785D" w:rsidRPr="005E785D" w:rsidRDefault="005E785D" w:rsidP="00DD0B52">
            <w:r w:rsidRPr="005E785D">
              <w:rPr>
                <w:b/>
                <w:bCs/>
              </w:rPr>
              <w:t>Log-likelihood:</w:t>
            </w:r>
          </w:p>
        </w:tc>
        <w:tc>
          <w:tcPr>
            <w:tcW w:w="0" w:type="auto"/>
            <w:vAlign w:val="center"/>
            <w:hideMark/>
          </w:tcPr>
          <w:p w14:paraId="0A5AB2C3" w14:textId="77777777" w:rsidR="005E785D" w:rsidRPr="005E785D" w:rsidRDefault="005E785D" w:rsidP="00DD0B52">
            <w:r w:rsidRPr="005E785D">
              <w:t>-1.108e+04</w:t>
            </w:r>
          </w:p>
        </w:tc>
      </w:tr>
    </w:tbl>
    <w:p w14:paraId="182C2564" w14:textId="77777777" w:rsidR="00CB2EB7" w:rsidRDefault="005E785D" w:rsidP="00DD0B52">
      <w:r w:rsidRPr="005E785D">
        <w:rPr>
          <w:b/>
          <w:bCs/>
        </w:rPr>
        <w:t>Table 5</w:t>
      </w:r>
      <w:r>
        <w:rPr>
          <w:b/>
          <w:bCs/>
        </w:rPr>
        <w:t xml:space="preserve"> </w:t>
      </w:r>
      <w:r>
        <w:t xml:space="preserve">Fixed Effects Model PanelOLS Estimation </w:t>
      </w:r>
    </w:p>
    <w:p w14:paraId="70A337E1" w14:textId="77777777" w:rsidR="005E785D" w:rsidRPr="005E785D" w:rsidRDefault="005E785D" w:rsidP="00DD0B52"/>
    <w:p w14:paraId="40A3A8AD" w14:textId="77777777" w:rsidR="00CF3F26" w:rsidRDefault="00CF3F26" w:rsidP="00DD0B52"/>
    <w:p w14:paraId="618ACB17" w14:textId="77777777" w:rsidR="005E785D" w:rsidRDefault="005E785D" w:rsidP="00DD0B52"/>
    <w:p w14:paraId="249E0DD2" w14:textId="77777777" w:rsidR="005E785D" w:rsidRDefault="005E785D" w:rsidP="00DD0B52"/>
    <w:p w14:paraId="5E84EA4F" w14:textId="77777777" w:rsidR="000D1F55" w:rsidRDefault="000D1F55" w:rsidP="00DD0B52"/>
    <w:p w14:paraId="2C1DBB4E" w14:textId="77777777" w:rsidR="000D1F55" w:rsidRDefault="000D1F55" w:rsidP="00DD0B52"/>
    <w:p w14:paraId="0BA77AAD" w14:textId="77777777" w:rsidR="000D1F55" w:rsidRDefault="000D1F55" w:rsidP="00DD0B52"/>
    <w:p w14:paraId="331A026F" w14:textId="77777777" w:rsidR="000D1F55" w:rsidRDefault="000D1F55" w:rsidP="00DD0B52"/>
    <w:p w14:paraId="07DC3006" w14:textId="77777777" w:rsidR="000D1F55" w:rsidRDefault="000D1F55" w:rsidP="00DD0B52"/>
    <w:p w14:paraId="252B0589" w14:textId="77777777" w:rsidR="000D1F55" w:rsidRDefault="000D1F55" w:rsidP="00DD0B52"/>
    <w:p w14:paraId="7E802AD0" w14:textId="77777777" w:rsidR="000D1F55" w:rsidRDefault="000D1F55" w:rsidP="00DD0B52"/>
    <w:p w14:paraId="15F769CC" w14:textId="77777777" w:rsidR="000D1F55" w:rsidRDefault="000D1F55" w:rsidP="00DD0B52"/>
    <w:p w14:paraId="4FA270E1" w14:textId="77777777" w:rsidR="000D1F55" w:rsidRDefault="000D1F55" w:rsidP="00DD0B52"/>
    <w:p w14:paraId="25D1434D" w14:textId="77777777" w:rsidR="000D1F55" w:rsidRPr="007D5E4A" w:rsidRDefault="000D1F55" w:rsidP="00DD0B52"/>
    <w:p w14:paraId="680FB976" w14:textId="77777777" w:rsidR="00CF3F26" w:rsidRPr="007D5E4A" w:rsidRDefault="00CF3F26" w:rsidP="00DD0B52">
      <w:pPr>
        <w:numPr>
          <w:ilvl w:val="0"/>
          <w:numId w:val="2"/>
        </w:numPr>
      </w:pPr>
      <w:r w:rsidRPr="007D5E4A">
        <w:t>R-squared (Within): This value (0.5450) indicates that the model explains approximately 54.5% of the variability in the dependent variable (FR2) within each country, after accounting for time-invariant characteristics.</w:t>
      </w:r>
    </w:p>
    <w:p w14:paraId="3E4AD190" w14:textId="77777777" w:rsidR="00CF3F26" w:rsidRPr="007D5E4A" w:rsidRDefault="00CF3F26" w:rsidP="00DD0B52">
      <w:pPr>
        <w:numPr>
          <w:ilvl w:val="0"/>
          <w:numId w:val="2"/>
        </w:numPr>
      </w:pPr>
      <w:r w:rsidRPr="007D5E4A">
        <w:t>F-statistic and P-value: The F-statistic of 5875.7, with a P-value of 0.0000, shows that the model is highly statistically significant overall.</w:t>
      </w:r>
    </w:p>
    <w:p w14:paraId="57565827" w14:textId="77777777" w:rsidR="00CF3F26" w:rsidRPr="007D5E4A" w:rsidRDefault="00CF3F26" w:rsidP="00DD0B52">
      <w:pPr>
        <w:numPr>
          <w:ilvl w:val="0"/>
          <w:numId w:val="2"/>
        </w:numPr>
      </w:pPr>
      <w:r w:rsidRPr="007D5E4A">
        <w:t>Parameter Estimates:</w:t>
      </w:r>
    </w:p>
    <w:p w14:paraId="2680BE04" w14:textId="77777777" w:rsidR="00CF3F26" w:rsidRPr="007D5E4A" w:rsidRDefault="00CF3F26" w:rsidP="00DD0B52">
      <w:pPr>
        <w:numPr>
          <w:ilvl w:val="1"/>
          <w:numId w:val="2"/>
        </w:numPr>
      </w:pPr>
      <w:r w:rsidRPr="007D5E4A">
        <w:t>Constant: 13.059, indicating the intercept when Population and LifeExpectancy are held constant. It's statistically significant.</w:t>
      </w:r>
    </w:p>
    <w:p w14:paraId="34065DDF" w14:textId="77777777" w:rsidR="00CF3F26" w:rsidRPr="007D5E4A" w:rsidRDefault="00CF3F26" w:rsidP="00DD0B52">
      <w:pPr>
        <w:numPr>
          <w:ilvl w:val="1"/>
          <w:numId w:val="2"/>
        </w:numPr>
      </w:pPr>
      <w:r w:rsidRPr="007D5E4A">
        <w:t>Population: The coefficient is -2.647e-09, suggesting a very small negative effect of Population on the fertility rate. This effect is statistically significant.</w:t>
      </w:r>
    </w:p>
    <w:p w14:paraId="734BF340" w14:textId="77777777" w:rsidR="001E33AA" w:rsidRPr="001E33AA" w:rsidRDefault="00CF3F26" w:rsidP="00DD0B52">
      <w:pPr>
        <w:numPr>
          <w:ilvl w:val="1"/>
          <w:numId w:val="2"/>
        </w:numPr>
      </w:pPr>
      <w:r w:rsidRPr="007D5E4A">
        <w:t>LifeExpectancy: The coefficient of -0.1396 indicates that as life expectancy increases by one unit (likely a year), the fertility rate decreases by approximately 0.1396 units. This effect is statistically significant</w:t>
      </w:r>
      <w:r w:rsidR="001E33AA">
        <w:t>.</w:t>
      </w:r>
    </w:p>
    <w:p w14:paraId="43BFC3C7" w14:textId="77777777" w:rsidR="00F013B0" w:rsidRDefault="00F013B0" w:rsidP="00DD0B52">
      <w:pPr>
        <w:rPr>
          <w:b/>
          <w:bCs/>
        </w:rPr>
      </w:pPr>
    </w:p>
    <w:p w14:paraId="2EC687EE" w14:textId="77777777" w:rsidR="00991955" w:rsidRDefault="00991955" w:rsidP="00DD0B52">
      <w:pPr>
        <w:rPr>
          <w:b/>
          <w:bCs/>
        </w:rPr>
      </w:pPr>
    </w:p>
    <w:p w14:paraId="115978C0" w14:textId="77777777" w:rsidR="001E33AA" w:rsidRDefault="001E33AA" w:rsidP="00DD0B52">
      <w:pPr>
        <w:rPr>
          <w:b/>
          <w:bCs/>
        </w:rPr>
      </w:pPr>
    </w:p>
    <w:tbl>
      <w:tblPr>
        <w:tblpPr w:leftFromText="180" w:rightFromText="180" w:vertAnchor="text" w:horzAnchor="margin" w:tblpXSpec="right" w:tblpY="38"/>
        <w:tblW w:w="4834" w:type="dxa"/>
        <w:tblCellSpacing w:w="15" w:type="dxa"/>
        <w:tblCellMar>
          <w:top w:w="15" w:type="dxa"/>
          <w:left w:w="15" w:type="dxa"/>
          <w:bottom w:w="15" w:type="dxa"/>
          <w:right w:w="15" w:type="dxa"/>
        </w:tblCellMar>
        <w:tblLook w:val="04A0" w:firstRow="1" w:lastRow="0" w:firstColumn="1" w:lastColumn="0" w:noHBand="0" w:noVBand="1"/>
      </w:tblPr>
      <w:tblGrid>
        <w:gridCol w:w="2888"/>
        <w:gridCol w:w="1946"/>
      </w:tblGrid>
      <w:tr w:rsidR="00F013B0" w:rsidRPr="000F15FB" w14:paraId="7C9DE311" w14:textId="77777777" w:rsidTr="00F013B0">
        <w:trPr>
          <w:trHeight w:val="401"/>
          <w:tblCellSpacing w:w="15" w:type="dxa"/>
        </w:trPr>
        <w:tc>
          <w:tcPr>
            <w:tcW w:w="0" w:type="auto"/>
            <w:tcBorders>
              <w:top w:val="single" w:sz="4" w:space="0" w:color="auto"/>
            </w:tcBorders>
            <w:vAlign w:val="center"/>
            <w:hideMark/>
          </w:tcPr>
          <w:p w14:paraId="307A1593" w14:textId="77777777" w:rsidR="00F013B0" w:rsidRPr="000F15FB" w:rsidRDefault="00F013B0" w:rsidP="00DD0B52">
            <w:r w:rsidRPr="000F15FB">
              <w:rPr>
                <w:b/>
                <w:bCs/>
              </w:rPr>
              <w:t>Dep. Variable:</w:t>
            </w:r>
          </w:p>
        </w:tc>
        <w:tc>
          <w:tcPr>
            <w:tcW w:w="0" w:type="auto"/>
            <w:tcBorders>
              <w:top w:val="single" w:sz="4" w:space="0" w:color="auto"/>
            </w:tcBorders>
            <w:vAlign w:val="center"/>
            <w:hideMark/>
          </w:tcPr>
          <w:p w14:paraId="569A683D" w14:textId="77777777" w:rsidR="00F013B0" w:rsidRPr="000F15FB" w:rsidRDefault="00F013B0" w:rsidP="00DD0B52">
            <w:r>
              <w:t>Fertility Rate</w:t>
            </w:r>
          </w:p>
        </w:tc>
      </w:tr>
      <w:tr w:rsidR="00F013B0" w:rsidRPr="000F15FB" w14:paraId="39A16804" w14:textId="77777777" w:rsidTr="00F013B0">
        <w:trPr>
          <w:trHeight w:val="401"/>
          <w:tblCellSpacing w:w="15" w:type="dxa"/>
        </w:trPr>
        <w:tc>
          <w:tcPr>
            <w:tcW w:w="0" w:type="auto"/>
            <w:tcBorders>
              <w:top w:val="single" w:sz="4" w:space="0" w:color="auto"/>
            </w:tcBorders>
            <w:vAlign w:val="center"/>
            <w:hideMark/>
          </w:tcPr>
          <w:p w14:paraId="501D0D7E" w14:textId="77777777" w:rsidR="00F013B0" w:rsidRPr="000F15FB" w:rsidRDefault="00F013B0" w:rsidP="00DD0B52">
            <w:r w:rsidRPr="000F15FB">
              <w:rPr>
                <w:b/>
                <w:bCs/>
              </w:rPr>
              <w:t>Estimator:</w:t>
            </w:r>
          </w:p>
        </w:tc>
        <w:tc>
          <w:tcPr>
            <w:tcW w:w="0" w:type="auto"/>
            <w:tcBorders>
              <w:top w:val="single" w:sz="4" w:space="0" w:color="auto"/>
            </w:tcBorders>
            <w:vAlign w:val="center"/>
            <w:hideMark/>
          </w:tcPr>
          <w:p w14:paraId="059B809B" w14:textId="77777777" w:rsidR="00F013B0" w:rsidRPr="000F15FB" w:rsidRDefault="00F013B0" w:rsidP="00DD0B52">
            <w:r w:rsidRPr="000F15FB">
              <w:t>RandomEffects</w:t>
            </w:r>
          </w:p>
        </w:tc>
      </w:tr>
      <w:tr w:rsidR="00F013B0" w:rsidRPr="000F15FB" w14:paraId="7ED048E9" w14:textId="77777777" w:rsidTr="00F013B0">
        <w:trPr>
          <w:trHeight w:val="401"/>
          <w:tblCellSpacing w:w="15" w:type="dxa"/>
        </w:trPr>
        <w:tc>
          <w:tcPr>
            <w:tcW w:w="0" w:type="auto"/>
            <w:vAlign w:val="center"/>
            <w:hideMark/>
          </w:tcPr>
          <w:p w14:paraId="002033A7" w14:textId="77777777" w:rsidR="00F013B0" w:rsidRPr="000F15FB" w:rsidRDefault="00F013B0" w:rsidP="00DD0B52">
            <w:r w:rsidRPr="000F15FB">
              <w:rPr>
                <w:b/>
                <w:bCs/>
              </w:rPr>
              <w:t>No. Observations:</w:t>
            </w:r>
          </w:p>
        </w:tc>
        <w:tc>
          <w:tcPr>
            <w:tcW w:w="0" w:type="auto"/>
            <w:vAlign w:val="center"/>
            <w:hideMark/>
          </w:tcPr>
          <w:p w14:paraId="6E6A4B1B" w14:textId="77777777" w:rsidR="00F013B0" w:rsidRPr="000F15FB" w:rsidRDefault="00F013B0" w:rsidP="00DD0B52">
            <w:r w:rsidRPr="000F15FB">
              <w:t>10002</w:t>
            </w:r>
          </w:p>
        </w:tc>
      </w:tr>
      <w:tr w:rsidR="00F013B0" w:rsidRPr="000F15FB" w14:paraId="4911F9C0" w14:textId="77777777" w:rsidTr="00F013B0">
        <w:trPr>
          <w:trHeight w:val="375"/>
          <w:tblCellSpacing w:w="15" w:type="dxa"/>
        </w:trPr>
        <w:tc>
          <w:tcPr>
            <w:tcW w:w="0" w:type="auto"/>
            <w:vAlign w:val="center"/>
            <w:hideMark/>
          </w:tcPr>
          <w:p w14:paraId="178A15D9" w14:textId="77777777" w:rsidR="00F013B0" w:rsidRPr="000F15FB" w:rsidRDefault="00F013B0" w:rsidP="00DD0B52">
            <w:r w:rsidRPr="000F15FB">
              <w:rPr>
                <w:b/>
                <w:bCs/>
              </w:rPr>
              <w:t>Cov. Estimator:</w:t>
            </w:r>
          </w:p>
        </w:tc>
        <w:tc>
          <w:tcPr>
            <w:tcW w:w="0" w:type="auto"/>
            <w:vAlign w:val="center"/>
            <w:hideMark/>
          </w:tcPr>
          <w:p w14:paraId="2774DB68" w14:textId="77777777" w:rsidR="00F013B0" w:rsidRPr="000F15FB" w:rsidRDefault="00F013B0" w:rsidP="00DD0B52">
            <w:r w:rsidRPr="000F15FB">
              <w:t>Unadjusted</w:t>
            </w:r>
          </w:p>
        </w:tc>
      </w:tr>
      <w:tr w:rsidR="00F013B0" w:rsidRPr="000F15FB" w14:paraId="4D200F86" w14:textId="77777777" w:rsidTr="00F013B0">
        <w:trPr>
          <w:trHeight w:val="401"/>
          <w:tblCellSpacing w:w="15" w:type="dxa"/>
        </w:trPr>
        <w:tc>
          <w:tcPr>
            <w:tcW w:w="0" w:type="auto"/>
            <w:vAlign w:val="center"/>
            <w:hideMark/>
          </w:tcPr>
          <w:p w14:paraId="51A713D7" w14:textId="77777777" w:rsidR="00F013B0" w:rsidRPr="000F15FB" w:rsidRDefault="00F013B0" w:rsidP="00DD0B52">
            <w:r w:rsidRPr="000F15FB">
              <w:rPr>
                <w:b/>
                <w:bCs/>
              </w:rPr>
              <w:t>R-squared:</w:t>
            </w:r>
          </w:p>
        </w:tc>
        <w:tc>
          <w:tcPr>
            <w:tcW w:w="0" w:type="auto"/>
            <w:vAlign w:val="center"/>
            <w:hideMark/>
          </w:tcPr>
          <w:p w14:paraId="11B0F7D3" w14:textId="77777777" w:rsidR="00F013B0" w:rsidRPr="000F15FB" w:rsidRDefault="00F013B0" w:rsidP="00DD0B52">
            <w:r w:rsidRPr="000F15FB">
              <w:t>0.5526</w:t>
            </w:r>
          </w:p>
        </w:tc>
      </w:tr>
      <w:tr w:rsidR="00F013B0" w:rsidRPr="000F15FB" w14:paraId="29CC4BBC" w14:textId="77777777" w:rsidTr="00F013B0">
        <w:trPr>
          <w:trHeight w:val="401"/>
          <w:tblCellSpacing w:w="15" w:type="dxa"/>
        </w:trPr>
        <w:tc>
          <w:tcPr>
            <w:tcW w:w="0" w:type="auto"/>
            <w:vAlign w:val="center"/>
            <w:hideMark/>
          </w:tcPr>
          <w:p w14:paraId="62007885" w14:textId="77777777" w:rsidR="00F013B0" w:rsidRPr="000F15FB" w:rsidRDefault="00F013B0" w:rsidP="00DD0B52">
            <w:r w:rsidRPr="000F15FB">
              <w:rPr>
                <w:b/>
                <w:bCs/>
              </w:rPr>
              <w:t>R-squared (Between):</w:t>
            </w:r>
          </w:p>
        </w:tc>
        <w:tc>
          <w:tcPr>
            <w:tcW w:w="0" w:type="auto"/>
            <w:vAlign w:val="center"/>
            <w:hideMark/>
          </w:tcPr>
          <w:p w14:paraId="471C7549" w14:textId="77777777" w:rsidR="00F013B0" w:rsidRPr="000F15FB" w:rsidRDefault="00F013B0" w:rsidP="00DD0B52">
            <w:r w:rsidRPr="000F15FB">
              <w:t>0.7636</w:t>
            </w:r>
          </w:p>
        </w:tc>
      </w:tr>
      <w:tr w:rsidR="00F013B0" w:rsidRPr="000F15FB" w14:paraId="3F5C2569" w14:textId="77777777" w:rsidTr="00F013B0">
        <w:trPr>
          <w:trHeight w:val="375"/>
          <w:tblCellSpacing w:w="15" w:type="dxa"/>
        </w:trPr>
        <w:tc>
          <w:tcPr>
            <w:tcW w:w="0" w:type="auto"/>
            <w:vAlign w:val="center"/>
            <w:hideMark/>
          </w:tcPr>
          <w:p w14:paraId="1D823973" w14:textId="77777777" w:rsidR="00F013B0" w:rsidRPr="000F15FB" w:rsidRDefault="00F013B0" w:rsidP="00DD0B52">
            <w:r w:rsidRPr="000F15FB">
              <w:rPr>
                <w:b/>
                <w:bCs/>
              </w:rPr>
              <w:t>R-squared (Within):</w:t>
            </w:r>
          </w:p>
        </w:tc>
        <w:tc>
          <w:tcPr>
            <w:tcW w:w="0" w:type="auto"/>
            <w:vAlign w:val="center"/>
            <w:hideMark/>
          </w:tcPr>
          <w:p w14:paraId="27E2B590" w14:textId="77777777" w:rsidR="00F013B0" w:rsidRPr="000F15FB" w:rsidRDefault="00F013B0" w:rsidP="00DD0B52">
            <w:r w:rsidRPr="000F15FB">
              <w:t>0.5450</w:t>
            </w:r>
          </w:p>
        </w:tc>
      </w:tr>
      <w:tr w:rsidR="00F013B0" w:rsidRPr="000F15FB" w14:paraId="1C34E501" w14:textId="77777777" w:rsidTr="00F013B0">
        <w:trPr>
          <w:trHeight w:val="401"/>
          <w:tblCellSpacing w:w="15" w:type="dxa"/>
        </w:trPr>
        <w:tc>
          <w:tcPr>
            <w:tcW w:w="0" w:type="auto"/>
            <w:vAlign w:val="center"/>
            <w:hideMark/>
          </w:tcPr>
          <w:p w14:paraId="4D140DA7" w14:textId="77777777" w:rsidR="00F013B0" w:rsidRPr="000F15FB" w:rsidRDefault="00F013B0" w:rsidP="00DD0B52">
            <w:r w:rsidRPr="000F15FB">
              <w:rPr>
                <w:b/>
                <w:bCs/>
              </w:rPr>
              <w:t>R-squared (Overall):</w:t>
            </w:r>
          </w:p>
        </w:tc>
        <w:tc>
          <w:tcPr>
            <w:tcW w:w="0" w:type="auto"/>
            <w:vAlign w:val="center"/>
            <w:hideMark/>
          </w:tcPr>
          <w:p w14:paraId="155C97B6" w14:textId="77777777" w:rsidR="00F013B0" w:rsidRPr="000F15FB" w:rsidRDefault="00F013B0" w:rsidP="00DD0B52">
            <w:r w:rsidRPr="000F15FB">
              <w:t>0.7037</w:t>
            </w:r>
          </w:p>
        </w:tc>
      </w:tr>
      <w:tr w:rsidR="00F013B0" w:rsidRPr="000F15FB" w14:paraId="54DCBEF9" w14:textId="77777777" w:rsidTr="00F013B0">
        <w:trPr>
          <w:trHeight w:val="375"/>
          <w:tblCellSpacing w:w="15" w:type="dxa"/>
        </w:trPr>
        <w:tc>
          <w:tcPr>
            <w:tcW w:w="0" w:type="auto"/>
            <w:vAlign w:val="center"/>
            <w:hideMark/>
          </w:tcPr>
          <w:p w14:paraId="34422092" w14:textId="77777777" w:rsidR="00F013B0" w:rsidRPr="000F15FB" w:rsidRDefault="00F013B0" w:rsidP="00DD0B52">
            <w:r w:rsidRPr="000F15FB">
              <w:rPr>
                <w:b/>
                <w:bCs/>
              </w:rPr>
              <w:t>Log-likelihood:</w:t>
            </w:r>
          </w:p>
        </w:tc>
        <w:tc>
          <w:tcPr>
            <w:tcW w:w="0" w:type="auto"/>
            <w:vAlign w:val="center"/>
            <w:hideMark/>
          </w:tcPr>
          <w:p w14:paraId="67E84645" w14:textId="77777777" w:rsidR="00F013B0" w:rsidRPr="000F15FB" w:rsidRDefault="00F013B0" w:rsidP="00DD0B52">
            <w:r w:rsidRPr="000F15FB">
              <w:t>-1.118e+04</w:t>
            </w:r>
          </w:p>
        </w:tc>
      </w:tr>
    </w:tbl>
    <w:p w14:paraId="3397449A" w14:textId="77777777" w:rsidR="000F15FB" w:rsidRDefault="000F15FB" w:rsidP="00DD0B52">
      <w:r w:rsidRPr="005E785D">
        <w:rPr>
          <w:b/>
          <w:bCs/>
        </w:rPr>
        <w:t xml:space="preserve">Table </w:t>
      </w:r>
      <w:r>
        <w:rPr>
          <w:b/>
          <w:bCs/>
        </w:rPr>
        <w:t xml:space="preserve">6 </w:t>
      </w:r>
      <w:r>
        <w:t xml:space="preserve">Random Effects Model </w:t>
      </w:r>
    </w:p>
    <w:p w14:paraId="4D2FA23C" w14:textId="77777777" w:rsidR="000F15FB" w:rsidRDefault="000F15FB" w:rsidP="00DD0B52"/>
    <w:p w14:paraId="376FACEB" w14:textId="77777777" w:rsidR="000F15FB" w:rsidRDefault="000F15FB" w:rsidP="00DD0B52"/>
    <w:p w14:paraId="52497409" w14:textId="77777777" w:rsidR="00303DD6" w:rsidRDefault="00303DD6" w:rsidP="00DD0B52"/>
    <w:p w14:paraId="66F54DBE" w14:textId="77777777" w:rsidR="00303DD6" w:rsidRDefault="00303DD6" w:rsidP="00DD0B52"/>
    <w:p w14:paraId="6BB44F02" w14:textId="77777777" w:rsidR="00303DD6" w:rsidRDefault="00303DD6" w:rsidP="00DD0B52"/>
    <w:p w14:paraId="7F47E986" w14:textId="77777777" w:rsidR="00303DD6" w:rsidRDefault="00303DD6" w:rsidP="00DD0B52"/>
    <w:p w14:paraId="04D6A5CE" w14:textId="77777777" w:rsidR="00303DD6" w:rsidRDefault="00303DD6" w:rsidP="00DD0B52"/>
    <w:p w14:paraId="39A38782" w14:textId="77777777" w:rsidR="00303DD6" w:rsidRDefault="00303DD6" w:rsidP="00DD0B52"/>
    <w:p w14:paraId="51925E7E" w14:textId="77777777" w:rsidR="00303DD6" w:rsidRDefault="00303DD6" w:rsidP="00DD0B52"/>
    <w:p w14:paraId="773FE08F" w14:textId="77777777" w:rsidR="00303DD6" w:rsidRDefault="00303DD6" w:rsidP="00DD0B52"/>
    <w:p w14:paraId="6896D784" w14:textId="77777777" w:rsidR="00303DD6" w:rsidRDefault="00303DD6" w:rsidP="00DD0B52"/>
    <w:p w14:paraId="7DD6CFAC" w14:textId="77777777" w:rsidR="00303DD6" w:rsidRDefault="00303DD6" w:rsidP="00DD0B52"/>
    <w:p w14:paraId="2C5AF233" w14:textId="77777777" w:rsidR="00303DD6" w:rsidRDefault="00303DD6" w:rsidP="00DD0B52"/>
    <w:p w14:paraId="34B90ED2" w14:textId="77777777" w:rsidR="00446160" w:rsidRDefault="00446160" w:rsidP="00DD0B52"/>
    <w:p w14:paraId="49D2943E" w14:textId="77777777" w:rsidR="00303DD6" w:rsidRPr="006C59EA" w:rsidRDefault="00303DD6" w:rsidP="00DD0B52">
      <w:r w:rsidRPr="00303DD6">
        <w:rPr>
          <w:b/>
          <w:bCs/>
        </w:rPr>
        <w:lastRenderedPageBreak/>
        <w:t xml:space="preserve">Table 7 </w:t>
      </w:r>
      <w:r w:rsidR="006C59EA">
        <w:t>Parameter Estimates of Population and Life Expectancy</w:t>
      </w:r>
    </w:p>
    <w:p w14:paraId="2E8DF507" w14:textId="77777777" w:rsidR="00303DD6" w:rsidRDefault="00303DD6" w:rsidP="00DD0B52"/>
    <w:p w14:paraId="21D32A69" w14:textId="77777777" w:rsidR="00446160" w:rsidRDefault="00446160" w:rsidP="00DD0B52"/>
    <w:tbl>
      <w:tblPr>
        <w:tblpPr w:leftFromText="180" w:rightFromText="180" w:vertAnchor="page" w:horzAnchor="margin" w:tblpY="2449"/>
        <w:tblW w:w="0" w:type="auto"/>
        <w:tblCellSpacing w:w="15" w:type="dxa"/>
        <w:tblCellMar>
          <w:top w:w="15" w:type="dxa"/>
          <w:left w:w="15" w:type="dxa"/>
          <w:bottom w:w="15" w:type="dxa"/>
          <w:right w:w="15" w:type="dxa"/>
        </w:tblCellMar>
        <w:tblLook w:val="04A0" w:firstRow="1" w:lastRow="0" w:firstColumn="1" w:lastColumn="0" w:noHBand="0" w:noVBand="1"/>
      </w:tblPr>
      <w:tblGrid>
        <w:gridCol w:w="1675"/>
        <w:gridCol w:w="1107"/>
        <w:gridCol w:w="1027"/>
        <w:gridCol w:w="834"/>
        <w:gridCol w:w="1054"/>
        <w:gridCol w:w="1122"/>
      </w:tblGrid>
      <w:tr w:rsidR="00446160" w:rsidRPr="00303DD6" w14:paraId="36A9C1C9" w14:textId="77777777" w:rsidTr="00446160">
        <w:trPr>
          <w:tblHeader/>
          <w:tblCellSpacing w:w="15" w:type="dxa"/>
        </w:trPr>
        <w:tc>
          <w:tcPr>
            <w:tcW w:w="0" w:type="auto"/>
            <w:tcBorders>
              <w:top w:val="single" w:sz="4" w:space="0" w:color="auto"/>
            </w:tcBorders>
            <w:vAlign w:val="center"/>
            <w:hideMark/>
          </w:tcPr>
          <w:p w14:paraId="2E2D2956" w14:textId="77777777" w:rsidR="00446160" w:rsidRPr="00303DD6" w:rsidRDefault="00446160" w:rsidP="00446160">
            <w:pPr>
              <w:rPr>
                <w:b/>
                <w:bCs/>
              </w:rPr>
            </w:pPr>
            <w:r w:rsidRPr="00303DD6">
              <w:rPr>
                <w:b/>
                <w:bCs/>
              </w:rPr>
              <w:t>Parameter</w:t>
            </w:r>
          </w:p>
        </w:tc>
        <w:tc>
          <w:tcPr>
            <w:tcW w:w="0" w:type="auto"/>
            <w:tcBorders>
              <w:top w:val="single" w:sz="4" w:space="0" w:color="auto"/>
            </w:tcBorders>
            <w:vAlign w:val="center"/>
            <w:hideMark/>
          </w:tcPr>
          <w:p w14:paraId="15978DB4" w14:textId="77777777" w:rsidR="00446160" w:rsidRPr="00303DD6" w:rsidRDefault="00446160" w:rsidP="00446160">
            <w:pPr>
              <w:rPr>
                <w:b/>
                <w:bCs/>
              </w:rPr>
            </w:pPr>
            <w:r w:rsidRPr="00303DD6">
              <w:rPr>
                <w:b/>
                <w:bCs/>
              </w:rPr>
              <w:t>Std. Err.</w:t>
            </w:r>
          </w:p>
        </w:tc>
        <w:tc>
          <w:tcPr>
            <w:tcW w:w="0" w:type="auto"/>
            <w:tcBorders>
              <w:top w:val="single" w:sz="4" w:space="0" w:color="auto"/>
            </w:tcBorders>
            <w:vAlign w:val="center"/>
            <w:hideMark/>
          </w:tcPr>
          <w:p w14:paraId="7223F47A" w14:textId="77777777" w:rsidR="00446160" w:rsidRPr="00303DD6" w:rsidRDefault="00446160" w:rsidP="00446160">
            <w:pPr>
              <w:rPr>
                <w:b/>
                <w:bCs/>
              </w:rPr>
            </w:pPr>
            <w:r w:rsidRPr="00303DD6">
              <w:rPr>
                <w:b/>
                <w:bCs/>
              </w:rPr>
              <w:t>T-stat</w:t>
            </w:r>
          </w:p>
        </w:tc>
        <w:tc>
          <w:tcPr>
            <w:tcW w:w="0" w:type="auto"/>
            <w:tcBorders>
              <w:top w:val="single" w:sz="4" w:space="0" w:color="auto"/>
            </w:tcBorders>
            <w:vAlign w:val="center"/>
            <w:hideMark/>
          </w:tcPr>
          <w:p w14:paraId="6866CE19" w14:textId="77777777" w:rsidR="00446160" w:rsidRPr="00303DD6" w:rsidRDefault="00446160" w:rsidP="00446160">
            <w:pPr>
              <w:rPr>
                <w:b/>
                <w:bCs/>
              </w:rPr>
            </w:pPr>
            <w:r w:rsidRPr="00303DD6">
              <w:rPr>
                <w:b/>
                <w:bCs/>
              </w:rPr>
              <w:t>P-value</w:t>
            </w:r>
          </w:p>
        </w:tc>
        <w:tc>
          <w:tcPr>
            <w:tcW w:w="0" w:type="auto"/>
            <w:tcBorders>
              <w:top w:val="single" w:sz="4" w:space="0" w:color="auto"/>
            </w:tcBorders>
            <w:vAlign w:val="center"/>
            <w:hideMark/>
          </w:tcPr>
          <w:p w14:paraId="4AFD96EF" w14:textId="77777777" w:rsidR="00446160" w:rsidRPr="00303DD6" w:rsidRDefault="00446160" w:rsidP="00446160">
            <w:pPr>
              <w:rPr>
                <w:b/>
                <w:bCs/>
              </w:rPr>
            </w:pPr>
            <w:r w:rsidRPr="00303DD6">
              <w:rPr>
                <w:b/>
                <w:bCs/>
              </w:rPr>
              <w:t>Lower CI</w:t>
            </w:r>
          </w:p>
        </w:tc>
        <w:tc>
          <w:tcPr>
            <w:tcW w:w="0" w:type="auto"/>
            <w:tcBorders>
              <w:top w:val="single" w:sz="4" w:space="0" w:color="auto"/>
            </w:tcBorders>
            <w:vAlign w:val="center"/>
            <w:hideMark/>
          </w:tcPr>
          <w:p w14:paraId="7D942058" w14:textId="77777777" w:rsidR="00446160" w:rsidRPr="00303DD6" w:rsidRDefault="00446160" w:rsidP="00446160">
            <w:pPr>
              <w:rPr>
                <w:b/>
                <w:bCs/>
              </w:rPr>
            </w:pPr>
            <w:r w:rsidRPr="00303DD6">
              <w:rPr>
                <w:b/>
                <w:bCs/>
              </w:rPr>
              <w:t>Upper CI</w:t>
            </w:r>
          </w:p>
        </w:tc>
      </w:tr>
      <w:tr w:rsidR="00446160" w:rsidRPr="00303DD6" w14:paraId="0E6EE3F0" w14:textId="77777777" w:rsidTr="00446160">
        <w:trPr>
          <w:tblCellSpacing w:w="15" w:type="dxa"/>
        </w:trPr>
        <w:tc>
          <w:tcPr>
            <w:tcW w:w="0" w:type="auto"/>
            <w:tcBorders>
              <w:top w:val="single" w:sz="4" w:space="0" w:color="auto"/>
            </w:tcBorders>
            <w:vAlign w:val="center"/>
            <w:hideMark/>
          </w:tcPr>
          <w:p w14:paraId="297C1290" w14:textId="77777777" w:rsidR="00446160" w:rsidRPr="00303DD6" w:rsidRDefault="00446160" w:rsidP="00446160">
            <w:r w:rsidRPr="00303DD6">
              <w:rPr>
                <w:b/>
                <w:bCs/>
              </w:rPr>
              <w:t>const</w:t>
            </w:r>
          </w:p>
        </w:tc>
        <w:tc>
          <w:tcPr>
            <w:tcW w:w="0" w:type="auto"/>
            <w:tcBorders>
              <w:top w:val="single" w:sz="4" w:space="0" w:color="auto"/>
            </w:tcBorders>
            <w:vAlign w:val="center"/>
            <w:hideMark/>
          </w:tcPr>
          <w:p w14:paraId="17E0F049" w14:textId="77777777" w:rsidR="00446160" w:rsidRPr="00303DD6" w:rsidRDefault="00446160" w:rsidP="00446160">
            <w:r w:rsidRPr="00303DD6">
              <w:t>13.097</w:t>
            </w:r>
          </w:p>
        </w:tc>
        <w:tc>
          <w:tcPr>
            <w:tcW w:w="0" w:type="auto"/>
            <w:tcBorders>
              <w:top w:val="single" w:sz="4" w:space="0" w:color="auto"/>
            </w:tcBorders>
            <w:vAlign w:val="center"/>
            <w:hideMark/>
          </w:tcPr>
          <w:p w14:paraId="2B6EEF6C" w14:textId="77777777" w:rsidR="00446160" w:rsidRPr="00303DD6" w:rsidRDefault="00446160" w:rsidP="00446160">
            <w:r w:rsidRPr="00303DD6">
              <w:t>0.1024</w:t>
            </w:r>
          </w:p>
        </w:tc>
        <w:tc>
          <w:tcPr>
            <w:tcW w:w="0" w:type="auto"/>
            <w:tcBorders>
              <w:top w:val="single" w:sz="4" w:space="0" w:color="auto"/>
            </w:tcBorders>
            <w:vAlign w:val="center"/>
            <w:hideMark/>
          </w:tcPr>
          <w:p w14:paraId="59E3BFF9" w14:textId="77777777" w:rsidR="00446160" w:rsidRPr="00303DD6" w:rsidRDefault="00446160" w:rsidP="00446160">
            <w:r w:rsidRPr="00303DD6">
              <w:t>127.87</w:t>
            </w:r>
          </w:p>
        </w:tc>
        <w:tc>
          <w:tcPr>
            <w:tcW w:w="0" w:type="auto"/>
            <w:tcBorders>
              <w:top w:val="single" w:sz="4" w:space="0" w:color="auto"/>
            </w:tcBorders>
            <w:vAlign w:val="center"/>
            <w:hideMark/>
          </w:tcPr>
          <w:p w14:paraId="1148A713" w14:textId="77777777" w:rsidR="00446160" w:rsidRPr="00303DD6" w:rsidRDefault="00446160" w:rsidP="00446160">
            <w:r w:rsidRPr="00303DD6">
              <w:t>0.0000</w:t>
            </w:r>
          </w:p>
        </w:tc>
        <w:tc>
          <w:tcPr>
            <w:tcW w:w="0" w:type="auto"/>
            <w:tcBorders>
              <w:top w:val="single" w:sz="4" w:space="0" w:color="auto"/>
            </w:tcBorders>
            <w:vAlign w:val="center"/>
            <w:hideMark/>
          </w:tcPr>
          <w:p w14:paraId="2B3E41CB" w14:textId="77777777" w:rsidR="00446160" w:rsidRPr="00303DD6" w:rsidRDefault="00446160" w:rsidP="00446160">
            <w:r w:rsidRPr="00303DD6">
              <w:t>12.896</w:t>
            </w:r>
          </w:p>
        </w:tc>
      </w:tr>
      <w:tr w:rsidR="00446160" w:rsidRPr="00303DD6" w14:paraId="590F3653" w14:textId="77777777" w:rsidTr="00446160">
        <w:trPr>
          <w:tblCellSpacing w:w="15" w:type="dxa"/>
        </w:trPr>
        <w:tc>
          <w:tcPr>
            <w:tcW w:w="0" w:type="auto"/>
            <w:vAlign w:val="center"/>
            <w:hideMark/>
          </w:tcPr>
          <w:p w14:paraId="4F2B23D6" w14:textId="77777777" w:rsidR="00446160" w:rsidRPr="00303DD6" w:rsidRDefault="00446160" w:rsidP="00446160">
            <w:r w:rsidRPr="00303DD6">
              <w:rPr>
                <w:b/>
                <w:bCs/>
              </w:rPr>
              <w:t>Population</w:t>
            </w:r>
          </w:p>
        </w:tc>
        <w:tc>
          <w:tcPr>
            <w:tcW w:w="0" w:type="auto"/>
            <w:vAlign w:val="center"/>
            <w:hideMark/>
          </w:tcPr>
          <w:p w14:paraId="450AA4AE" w14:textId="77777777" w:rsidR="00446160" w:rsidRPr="00303DD6" w:rsidRDefault="00446160" w:rsidP="00446160">
            <w:r w:rsidRPr="00303DD6">
              <w:t>-2.312e-09</w:t>
            </w:r>
          </w:p>
        </w:tc>
        <w:tc>
          <w:tcPr>
            <w:tcW w:w="0" w:type="auto"/>
            <w:vAlign w:val="center"/>
            <w:hideMark/>
          </w:tcPr>
          <w:p w14:paraId="445C7C2E" w14:textId="77777777" w:rsidR="00446160" w:rsidRPr="00303DD6" w:rsidRDefault="00446160" w:rsidP="00446160">
            <w:r w:rsidRPr="00303DD6">
              <w:t>2.621e-10</w:t>
            </w:r>
          </w:p>
        </w:tc>
        <w:tc>
          <w:tcPr>
            <w:tcW w:w="0" w:type="auto"/>
            <w:vAlign w:val="center"/>
            <w:hideMark/>
          </w:tcPr>
          <w:p w14:paraId="2B14C9CD" w14:textId="77777777" w:rsidR="00446160" w:rsidRPr="00303DD6" w:rsidRDefault="00446160" w:rsidP="00446160">
            <w:r w:rsidRPr="00303DD6">
              <w:t>-8.8227</w:t>
            </w:r>
          </w:p>
        </w:tc>
        <w:tc>
          <w:tcPr>
            <w:tcW w:w="0" w:type="auto"/>
            <w:vAlign w:val="center"/>
            <w:hideMark/>
          </w:tcPr>
          <w:p w14:paraId="578E9630" w14:textId="77777777" w:rsidR="00446160" w:rsidRPr="00303DD6" w:rsidRDefault="00446160" w:rsidP="00446160">
            <w:r w:rsidRPr="00303DD6">
              <w:t>0.0000</w:t>
            </w:r>
          </w:p>
        </w:tc>
        <w:tc>
          <w:tcPr>
            <w:tcW w:w="0" w:type="auto"/>
            <w:vAlign w:val="center"/>
            <w:hideMark/>
          </w:tcPr>
          <w:p w14:paraId="14248BAD" w14:textId="77777777" w:rsidR="00446160" w:rsidRPr="00303DD6" w:rsidRDefault="00446160" w:rsidP="00446160">
            <w:r w:rsidRPr="00303DD6">
              <w:t>-2.826e-09</w:t>
            </w:r>
          </w:p>
        </w:tc>
      </w:tr>
      <w:tr w:rsidR="00446160" w:rsidRPr="00303DD6" w14:paraId="4B24BB9B" w14:textId="77777777" w:rsidTr="00446160">
        <w:trPr>
          <w:tblCellSpacing w:w="15" w:type="dxa"/>
        </w:trPr>
        <w:tc>
          <w:tcPr>
            <w:tcW w:w="0" w:type="auto"/>
            <w:vAlign w:val="center"/>
            <w:hideMark/>
          </w:tcPr>
          <w:p w14:paraId="37A3FD1F" w14:textId="77777777" w:rsidR="00446160" w:rsidRPr="00303DD6" w:rsidRDefault="00446160" w:rsidP="00446160">
            <w:r w:rsidRPr="00303DD6">
              <w:rPr>
                <w:b/>
                <w:bCs/>
              </w:rPr>
              <w:t>LifeExpectancy</w:t>
            </w:r>
          </w:p>
        </w:tc>
        <w:tc>
          <w:tcPr>
            <w:tcW w:w="0" w:type="auto"/>
            <w:vAlign w:val="center"/>
            <w:hideMark/>
          </w:tcPr>
          <w:p w14:paraId="2932687A" w14:textId="77777777" w:rsidR="00446160" w:rsidRPr="00303DD6" w:rsidRDefault="00446160" w:rsidP="00446160">
            <w:r w:rsidRPr="00303DD6">
              <w:t>-0.1405</w:t>
            </w:r>
          </w:p>
        </w:tc>
        <w:tc>
          <w:tcPr>
            <w:tcW w:w="0" w:type="auto"/>
            <w:vAlign w:val="center"/>
            <w:hideMark/>
          </w:tcPr>
          <w:p w14:paraId="0DDEDE79" w14:textId="77777777" w:rsidR="00446160" w:rsidRPr="00303DD6" w:rsidRDefault="00446160" w:rsidP="00446160">
            <w:r w:rsidRPr="00303DD6">
              <w:t>0.0013</w:t>
            </w:r>
          </w:p>
        </w:tc>
        <w:tc>
          <w:tcPr>
            <w:tcW w:w="0" w:type="auto"/>
            <w:vAlign w:val="center"/>
            <w:hideMark/>
          </w:tcPr>
          <w:p w14:paraId="3A098CBE" w14:textId="77777777" w:rsidR="00446160" w:rsidRPr="00303DD6" w:rsidRDefault="00446160" w:rsidP="00446160">
            <w:r w:rsidRPr="00303DD6">
              <w:t>-105.61</w:t>
            </w:r>
          </w:p>
        </w:tc>
        <w:tc>
          <w:tcPr>
            <w:tcW w:w="0" w:type="auto"/>
            <w:vAlign w:val="center"/>
            <w:hideMark/>
          </w:tcPr>
          <w:p w14:paraId="1B692520" w14:textId="77777777" w:rsidR="00446160" w:rsidRPr="00303DD6" w:rsidRDefault="00446160" w:rsidP="00446160">
            <w:r w:rsidRPr="00303DD6">
              <w:t>0.0000</w:t>
            </w:r>
          </w:p>
        </w:tc>
        <w:tc>
          <w:tcPr>
            <w:tcW w:w="0" w:type="auto"/>
            <w:vAlign w:val="center"/>
            <w:hideMark/>
          </w:tcPr>
          <w:p w14:paraId="2BC1F6C5" w14:textId="77777777" w:rsidR="00446160" w:rsidRPr="00303DD6" w:rsidRDefault="00446160" w:rsidP="00446160">
            <w:r w:rsidRPr="00303DD6">
              <w:t>-0.1431</w:t>
            </w:r>
          </w:p>
        </w:tc>
      </w:tr>
    </w:tbl>
    <w:p w14:paraId="7C196062" w14:textId="77777777" w:rsidR="00446160" w:rsidRDefault="00446160" w:rsidP="00DD0B52"/>
    <w:p w14:paraId="3A132DDE" w14:textId="02A3A690" w:rsidR="00446160" w:rsidRDefault="00446160" w:rsidP="00DD0B52"/>
    <w:p w14:paraId="277389E5" w14:textId="77777777" w:rsidR="00446160" w:rsidRDefault="00446160" w:rsidP="00DD0B52"/>
    <w:p w14:paraId="7582D633" w14:textId="77777777" w:rsidR="00446160" w:rsidRDefault="00446160" w:rsidP="00DD0B52"/>
    <w:p w14:paraId="073FB71E" w14:textId="77777777" w:rsidR="00446160" w:rsidRDefault="00446160" w:rsidP="00DD0B52"/>
    <w:p w14:paraId="16FDD39B" w14:textId="77777777" w:rsidR="005F748F" w:rsidRDefault="005F748F" w:rsidP="00DD0B52"/>
    <w:p w14:paraId="22AB8E6B" w14:textId="550CB35D" w:rsidR="00CF3F26" w:rsidRPr="007D5E4A" w:rsidRDefault="00D962E5" w:rsidP="00DD0B52">
      <w:r w:rsidRPr="007D5E4A">
        <w:fldChar w:fldCharType="begin"/>
      </w:r>
      <w:r w:rsidRPr="007D5E4A">
        <w:instrText xml:space="preserve"> INCLUDEPICTURE "https://lh7-rt.googleusercontent.com/docsz/AD_4nXf9tN_0aLzCglPzNE4Yr4Qpl-KsOFCBGrWCgnC4j3dvkYn3ckuwB_Kz-xfTr9UauiKkUCzb6GlICGLw-4G9WmR_Onaxf8yPSxop3gejZ_UHCHsTPez0uqQkDnv2UlQ5iQ_3H_xK23IO5ZHQ03X-yc5AekPr?key=tgUKaWNsQ86rxy8JBrYe7g" \* MERGEFORMATINET </w:instrText>
      </w:r>
      <w:r w:rsidRPr="007D5E4A">
        <w:fldChar w:fldCharType="separate"/>
      </w:r>
      <w:r w:rsidRPr="007D5E4A">
        <w:fldChar w:fldCharType="end"/>
      </w:r>
    </w:p>
    <w:p w14:paraId="2A835FB0" w14:textId="77777777" w:rsidR="00CF3F26" w:rsidRPr="007D5E4A" w:rsidRDefault="00CF3F26" w:rsidP="00DD0B52">
      <w:pPr>
        <w:numPr>
          <w:ilvl w:val="0"/>
          <w:numId w:val="3"/>
        </w:numPr>
      </w:pPr>
      <w:r w:rsidRPr="007D5E4A">
        <w:t>R-squared (Within): 0.5450, similar to the Fixed Effects model, indicating a similar level of explanatory power within countries.</w:t>
      </w:r>
    </w:p>
    <w:p w14:paraId="0CFA9AFD" w14:textId="77777777" w:rsidR="00CF3F26" w:rsidRPr="007D5E4A" w:rsidRDefault="00CF3F26" w:rsidP="00DD0B52">
      <w:pPr>
        <w:numPr>
          <w:ilvl w:val="0"/>
          <w:numId w:val="3"/>
        </w:numPr>
      </w:pPr>
      <w:r w:rsidRPr="007D5E4A">
        <w:t>R-squared (Between): 0.7636, showing that the model explains 76.36% of the variation between countries.</w:t>
      </w:r>
    </w:p>
    <w:p w14:paraId="05188A4B" w14:textId="77777777" w:rsidR="00CF3F26" w:rsidRPr="007D5E4A" w:rsidRDefault="00CF3F26" w:rsidP="00DD0B52">
      <w:pPr>
        <w:numPr>
          <w:ilvl w:val="0"/>
          <w:numId w:val="3"/>
        </w:numPr>
      </w:pPr>
      <w:r w:rsidRPr="007D5E4A">
        <w:t>F-statistic and P-value: The model is statistically significant overall, with an F-statistic of 6174.4 and a P-value of 0.0000.</w:t>
      </w:r>
    </w:p>
    <w:p w14:paraId="197E236F" w14:textId="77777777" w:rsidR="00CF3F26" w:rsidRPr="007D5E4A" w:rsidRDefault="00CF3F26" w:rsidP="00DD0B52">
      <w:pPr>
        <w:numPr>
          <w:ilvl w:val="0"/>
          <w:numId w:val="3"/>
        </w:numPr>
      </w:pPr>
      <w:r w:rsidRPr="007D5E4A">
        <w:t>Parameter Estimates:</w:t>
      </w:r>
    </w:p>
    <w:p w14:paraId="1722180B" w14:textId="77777777" w:rsidR="00CF3F26" w:rsidRPr="007D5E4A" w:rsidRDefault="00CF3F26" w:rsidP="00DD0B52">
      <w:pPr>
        <w:numPr>
          <w:ilvl w:val="1"/>
          <w:numId w:val="3"/>
        </w:numPr>
      </w:pPr>
      <w:r w:rsidRPr="007D5E4A">
        <w:t>The coefficients are similar to the Fixed Effects model, with a slightly less negative coefficient for Population (-2.312e-09).</w:t>
      </w:r>
    </w:p>
    <w:p w14:paraId="437E547D" w14:textId="77777777" w:rsidR="00346121" w:rsidRDefault="00CF3F26" w:rsidP="00DD0B52">
      <w:pPr>
        <w:numPr>
          <w:ilvl w:val="1"/>
          <w:numId w:val="3"/>
        </w:numPr>
      </w:pPr>
      <w:r w:rsidRPr="007D5E4A">
        <w:t>The LifeExpectancy effect is similar (-0.1405), indicating a consistent negative relationship between life expectancy and fertility rate.</w:t>
      </w:r>
    </w:p>
    <w:p w14:paraId="4E38FE6E" w14:textId="39D535D1" w:rsidR="00CF3F26" w:rsidRPr="007D5E4A" w:rsidRDefault="00CF3F26" w:rsidP="00DD0B52">
      <w:pPr>
        <w:numPr>
          <w:ilvl w:val="1"/>
          <w:numId w:val="3"/>
        </w:numPr>
      </w:pPr>
      <w:r w:rsidRPr="007D5E4A">
        <w:t>Hausman Test: Chi2 = 8.354894765223571, p-value = 0.03921919711261574</w:t>
      </w:r>
    </w:p>
    <w:p w14:paraId="7B85A204" w14:textId="77777777" w:rsidR="00CF3F26" w:rsidRPr="007D5E4A" w:rsidRDefault="00CF3F26" w:rsidP="00DD0B52">
      <w:pPr>
        <w:numPr>
          <w:ilvl w:val="0"/>
          <w:numId w:val="4"/>
        </w:numPr>
      </w:pPr>
      <w:r w:rsidRPr="007D5E4A">
        <w:t>Chi2 Statistic: 8.35, with a P-value of 0.0392.</w:t>
      </w:r>
    </w:p>
    <w:p w14:paraId="50A56E69" w14:textId="77777777" w:rsidR="005F748F" w:rsidRDefault="00CF3F26" w:rsidP="00DD0B52">
      <w:pPr>
        <w:numPr>
          <w:ilvl w:val="0"/>
          <w:numId w:val="4"/>
        </w:numPr>
      </w:pPr>
      <w:r w:rsidRPr="007D5E4A">
        <w:t>The low P-value (&lt; 0.05) suggests that the Fixed Effects model is more appropriate than the Random Effects model. This result indicates that there are significant differences between countries that are better captured by the Fixed Effects model, which controls for these time-invariant characteristics.</w:t>
      </w:r>
    </w:p>
    <w:p w14:paraId="75898ED4" w14:textId="77777777" w:rsidR="005F748F" w:rsidRDefault="005F748F" w:rsidP="00DD0B52">
      <w:pPr>
        <w:ind w:left="360"/>
      </w:pPr>
    </w:p>
    <w:p w14:paraId="39394F4E" w14:textId="77777777" w:rsidR="005F748F" w:rsidRDefault="005F748F" w:rsidP="00DD0B52"/>
    <w:p w14:paraId="66A43994" w14:textId="77777777" w:rsidR="004B4B13" w:rsidRDefault="004B4B13" w:rsidP="00DD0B52"/>
    <w:p w14:paraId="4541BF3A" w14:textId="77777777" w:rsidR="004B4B13" w:rsidRDefault="004B4B13" w:rsidP="00DD0B52"/>
    <w:p w14:paraId="0651F375" w14:textId="77777777" w:rsidR="004B4B13" w:rsidRDefault="004B4B13" w:rsidP="00DD0B52"/>
    <w:p w14:paraId="1C40E521" w14:textId="038B9394" w:rsidR="00BF6972" w:rsidRDefault="00BF6972" w:rsidP="00DD0B52"/>
    <w:p w14:paraId="22EF6A98" w14:textId="77777777" w:rsidR="00BF6972" w:rsidRDefault="00BF6972" w:rsidP="00DD0B52"/>
    <w:p w14:paraId="03587843" w14:textId="77777777" w:rsidR="00BF6972" w:rsidRDefault="00BF6972" w:rsidP="00DD0B52"/>
    <w:p w14:paraId="4C965892" w14:textId="77777777" w:rsidR="00BF6972" w:rsidRDefault="00BF6972" w:rsidP="00DD0B52"/>
    <w:p w14:paraId="676B3368" w14:textId="77777777" w:rsidR="00BF6972" w:rsidRDefault="00BF6972" w:rsidP="00DD0B52"/>
    <w:p w14:paraId="177381FF" w14:textId="77777777" w:rsidR="00BF6972" w:rsidRDefault="00BF6972" w:rsidP="00DD0B52"/>
    <w:p w14:paraId="7DDCCB4D" w14:textId="77777777" w:rsidR="00BF6972" w:rsidRDefault="00BF6972" w:rsidP="00DD0B52"/>
    <w:p w14:paraId="61C248F0" w14:textId="77777777" w:rsidR="00BF6972" w:rsidRDefault="00BF6972" w:rsidP="00DD0B52"/>
    <w:p w14:paraId="23ECAE6F" w14:textId="77777777" w:rsidR="00BF6972" w:rsidRDefault="00BF6972" w:rsidP="00DD0B52"/>
    <w:p w14:paraId="12D3081D" w14:textId="77777777" w:rsidR="00BF6972" w:rsidRDefault="00BF6972" w:rsidP="00DD0B52"/>
    <w:p w14:paraId="055DA03B" w14:textId="77777777" w:rsidR="00BF6972" w:rsidRDefault="00BF6972" w:rsidP="00DD0B52"/>
    <w:p w14:paraId="598C050A" w14:textId="77777777" w:rsidR="00BF6972" w:rsidRDefault="00BF6972" w:rsidP="00DD0B52"/>
    <w:p w14:paraId="7D7F0F58" w14:textId="77777777" w:rsidR="00BF6972" w:rsidRDefault="00BF6972" w:rsidP="00DD0B52"/>
    <w:p w14:paraId="5FAC13CC" w14:textId="77777777" w:rsidR="00BF6972" w:rsidRDefault="00BF6972" w:rsidP="00DD0B52"/>
    <w:p w14:paraId="10F58BC0" w14:textId="77777777" w:rsidR="004B4B13" w:rsidRDefault="004B4B13" w:rsidP="00DD0B52"/>
    <w:p w14:paraId="36FEF9BA" w14:textId="77777777" w:rsidR="004B4B13" w:rsidRDefault="004B4B13" w:rsidP="00DD0B52"/>
    <w:p w14:paraId="6EBF1827" w14:textId="77777777" w:rsidR="004B4B13" w:rsidRDefault="004B4B13" w:rsidP="00DD0B52"/>
    <w:p w14:paraId="340E8A3A" w14:textId="77777777" w:rsidR="004B4B13" w:rsidRPr="007D5E4A" w:rsidRDefault="004B4B13" w:rsidP="00DD0B52"/>
    <w:p w14:paraId="2CD9A8DD" w14:textId="77777777" w:rsidR="00CF3F26" w:rsidRDefault="001E33AA" w:rsidP="00DD0B52">
      <w:pPr>
        <w:rPr>
          <w:b/>
          <w:bCs/>
        </w:rPr>
      </w:pPr>
      <w:r>
        <w:rPr>
          <w:b/>
          <w:bCs/>
        </w:rPr>
        <w:lastRenderedPageBreak/>
        <w:t>6</w:t>
      </w:r>
      <w:r w:rsidR="00CF3F26" w:rsidRPr="007D5E4A">
        <w:rPr>
          <w:b/>
          <w:bCs/>
        </w:rPr>
        <w:t>.2.3 Fertility Rates and Life Expectancy Across Income Groups</w:t>
      </w:r>
    </w:p>
    <w:p w14:paraId="0D61FEB9" w14:textId="77777777" w:rsidR="00F013B0" w:rsidRDefault="00F013B0" w:rsidP="00DD0B52">
      <w:pPr>
        <w:rPr>
          <w:b/>
          <w:bCs/>
        </w:rPr>
      </w:pPr>
    </w:p>
    <w:tbl>
      <w:tblPr>
        <w:tblpPr w:leftFromText="180" w:rightFromText="180" w:vertAnchor="text" w:horzAnchor="margin" w:tblpXSpec="right" w:tblpY="-54"/>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1901"/>
      </w:tblGrid>
      <w:tr w:rsidR="00F013B0" w:rsidRPr="00C25171" w14:paraId="27A807C4" w14:textId="77777777" w:rsidTr="00F013B0">
        <w:trPr>
          <w:tblCellSpacing w:w="15" w:type="dxa"/>
        </w:trPr>
        <w:tc>
          <w:tcPr>
            <w:tcW w:w="0" w:type="auto"/>
            <w:tcBorders>
              <w:top w:val="single" w:sz="4" w:space="0" w:color="auto"/>
            </w:tcBorders>
            <w:vAlign w:val="center"/>
            <w:hideMark/>
          </w:tcPr>
          <w:p w14:paraId="0375B935" w14:textId="77777777" w:rsidR="00F013B0" w:rsidRPr="00C25171" w:rsidRDefault="00F013B0" w:rsidP="00DD0B52">
            <w:r w:rsidRPr="00C25171">
              <w:rPr>
                <w:b/>
                <w:bCs/>
              </w:rPr>
              <w:t>Dep. Variable:</w:t>
            </w:r>
          </w:p>
        </w:tc>
        <w:tc>
          <w:tcPr>
            <w:tcW w:w="0" w:type="auto"/>
            <w:tcBorders>
              <w:top w:val="single" w:sz="4" w:space="0" w:color="auto"/>
            </w:tcBorders>
            <w:vAlign w:val="center"/>
            <w:hideMark/>
          </w:tcPr>
          <w:p w14:paraId="564EC9FE" w14:textId="77777777" w:rsidR="00F013B0" w:rsidRPr="00C25171" w:rsidRDefault="00F013B0" w:rsidP="00DD0B52">
            <w:r w:rsidRPr="00C25171">
              <w:t>Total_fertility_</w:t>
            </w:r>
            <w:r>
              <w:t xml:space="preserve">rate </w:t>
            </w:r>
          </w:p>
        </w:tc>
      </w:tr>
      <w:tr w:rsidR="00F013B0" w:rsidRPr="00C25171" w14:paraId="7D3DA206" w14:textId="77777777" w:rsidTr="00F013B0">
        <w:trPr>
          <w:tblCellSpacing w:w="15" w:type="dxa"/>
        </w:trPr>
        <w:tc>
          <w:tcPr>
            <w:tcW w:w="0" w:type="auto"/>
            <w:tcBorders>
              <w:top w:val="single" w:sz="4" w:space="0" w:color="auto"/>
            </w:tcBorders>
            <w:vAlign w:val="center"/>
            <w:hideMark/>
          </w:tcPr>
          <w:p w14:paraId="743EB2A8" w14:textId="77777777" w:rsidR="00F013B0" w:rsidRPr="00C25171" w:rsidRDefault="00F013B0" w:rsidP="00DD0B52">
            <w:r w:rsidRPr="00C25171">
              <w:rPr>
                <w:b/>
                <w:bCs/>
              </w:rPr>
              <w:t>Estimator:</w:t>
            </w:r>
          </w:p>
        </w:tc>
        <w:tc>
          <w:tcPr>
            <w:tcW w:w="0" w:type="auto"/>
            <w:tcBorders>
              <w:top w:val="single" w:sz="4" w:space="0" w:color="auto"/>
            </w:tcBorders>
            <w:vAlign w:val="center"/>
            <w:hideMark/>
          </w:tcPr>
          <w:p w14:paraId="2458C9AC" w14:textId="77777777" w:rsidR="00F013B0" w:rsidRPr="00C25171" w:rsidRDefault="00F013B0" w:rsidP="00DD0B52">
            <w:r w:rsidRPr="00C25171">
              <w:t>PanelOLS</w:t>
            </w:r>
          </w:p>
        </w:tc>
      </w:tr>
      <w:tr w:rsidR="00F013B0" w:rsidRPr="00C25171" w14:paraId="07DB450B" w14:textId="77777777" w:rsidTr="00F013B0">
        <w:trPr>
          <w:tblCellSpacing w:w="15" w:type="dxa"/>
        </w:trPr>
        <w:tc>
          <w:tcPr>
            <w:tcW w:w="0" w:type="auto"/>
            <w:vAlign w:val="center"/>
            <w:hideMark/>
          </w:tcPr>
          <w:p w14:paraId="407DB884" w14:textId="77777777" w:rsidR="00F013B0" w:rsidRPr="00C25171" w:rsidRDefault="00F013B0" w:rsidP="00DD0B52">
            <w:r w:rsidRPr="00C25171">
              <w:rPr>
                <w:b/>
                <w:bCs/>
              </w:rPr>
              <w:t>No. Observations:</w:t>
            </w:r>
          </w:p>
        </w:tc>
        <w:tc>
          <w:tcPr>
            <w:tcW w:w="0" w:type="auto"/>
            <w:vAlign w:val="center"/>
            <w:hideMark/>
          </w:tcPr>
          <w:p w14:paraId="321C6F01" w14:textId="77777777" w:rsidR="00F013B0" w:rsidRPr="00C25171" w:rsidRDefault="00F013B0" w:rsidP="00DD0B52">
            <w:r w:rsidRPr="00C25171">
              <w:t>1004</w:t>
            </w:r>
          </w:p>
        </w:tc>
      </w:tr>
      <w:tr w:rsidR="00F013B0" w:rsidRPr="00C25171" w14:paraId="6AFB454B" w14:textId="77777777" w:rsidTr="00F013B0">
        <w:trPr>
          <w:tblCellSpacing w:w="15" w:type="dxa"/>
        </w:trPr>
        <w:tc>
          <w:tcPr>
            <w:tcW w:w="0" w:type="auto"/>
            <w:vAlign w:val="center"/>
            <w:hideMark/>
          </w:tcPr>
          <w:p w14:paraId="01F47C02" w14:textId="77777777" w:rsidR="00F013B0" w:rsidRPr="00C25171" w:rsidRDefault="00F013B0" w:rsidP="00DD0B52">
            <w:r w:rsidRPr="00C25171">
              <w:rPr>
                <w:b/>
                <w:bCs/>
              </w:rPr>
              <w:t>Date:</w:t>
            </w:r>
          </w:p>
        </w:tc>
        <w:tc>
          <w:tcPr>
            <w:tcW w:w="0" w:type="auto"/>
            <w:vAlign w:val="center"/>
            <w:hideMark/>
          </w:tcPr>
          <w:p w14:paraId="1B46175F" w14:textId="77777777" w:rsidR="00F013B0" w:rsidRPr="00C25171" w:rsidRDefault="00F013B0" w:rsidP="00DD0B52">
            <w:r w:rsidRPr="00C25171">
              <w:t>Thu, Oct 17 2024</w:t>
            </w:r>
          </w:p>
        </w:tc>
      </w:tr>
      <w:tr w:rsidR="00F013B0" w:rsidRPr="00C25171" w14:paraId="2DFE6770" w14:textId="77777777" w:rsidTr="00F013B0">
        <w:trPr>
          <w:tblCellSpacing w:w="15" w:type="dxa"/>
        </w:trPr>
        <w:tc>
          <w:tcPr>
            <w:tcW w:w="0" w:type="auto"/>
            <w:vAlign w:val="center"/>
            <w:hideMark/>
          </w:tcPr>
          <w:p w14:paraId="449E3E6A" w14:textId="77777777" w:rsidR="00F013B0" w:rsidRPr="00C25171" w:rsidRDefault="00F013B0" w:rsidP="00DD0B52">
            <w:r w:rsidRPr="00C25171">
              <w:rPr>
                <w:b/>
                <w:bCs/>
              </w:rPr>
              <w:t>Time:</w:t>
            </w:r>
          </w:p>
        </w:tc>
        <w:tc>
          <w:tcPr>
            <w:tcW w:w="0" w:type="auto"/>
            <w:vAlign w:val="center"/>
            <w:hideMark/>
          </w:tcPr>
          <w:p w14:paraId="05CD3F34" w14:textId="77777777" w:rsidR="00F013B0" w:rsidRPr="00C25171" w:rsidRDefault="00F013B0" w:rsidP="00DD0B52">
            <w:r w:rsidRPr="00C25171">
              <w:t>19:29:45</w:t>
            </w:r>
          </w:p>
        </w:tc>
      </w:tr>
      <w:tr w:rsidR="00F013B0" w:rsidRPr="00C25171" w14:paraId="2BD5F2DD" w14:textId="77777777" w:rsidTr="00F013B0">
        <w:trPr>
          <w:tblCellSpacing w:w="15" w:type="dxa"/>
        </w:trPr>
        <w:tc>
          <w:tcPr>
            <w:tcW w:w="0" w:type="auto"/>
            <w:vAlign w:val="center"/>
            <w:hideMark/>
          </w:tcPr>
          <w:p w14:paraId="13D2FA59" w14:textId="77777777" w:rsidR="00F013B0" w:rsidRPr="00C25171" w:rsidRDefault="00F013B0" w:rsidP="00DD0B52">
            <w:r w:rsidRPr="00C25171">
              <w:rPr>
                <w:b/>
                <w:bCs/>
              </w:rPr>
              <w:t>Cov. Estimator:</w:t>
            </w:r>
          </w:p>
        </w:tc>
        <w:tc>
          <w:tcPr>
            <w:tcW w:w="0" w:type="auto"/>
            <w:vAlign w:val="center"/>
            <w:hideMark/>
          </w:tcPr>
          <w:p w14:paraId="1FDAE6D3" w14:textId="77777777" w:rsidR="00F013B0" w:rsidRPr="00C25171" w:rsidRDefault="00F013B0" w:rsidP="00DD0B52">
            <w:r w:rsidRPr="00C25171">
              <w:t>Unadjusted</w:t>
            </w:r>
          </w:p>
        </w:tc>
      </w:tr>
      <w:tr w:rsidR="00F013B0" w:rsidRPr="00C25171" w14:paraId="482DB6F0" w14:textId="77777777" w:rsidTr="00F013B0">
        <w:trPr>
          <w:tblCellSpacing w:w="15" w:type="dxa"/>
        </w:trPr>
        <w:tc>
          <w:tcPr>
            <w:tcW w:w="0" w:type="auto"/>
            <w:vAlign w:val="center"/>
            <w:hideMark/>
          </w:tcPr>
          <w:p w14:paraId="49D2C354" w14:textId="77777777" w:rsidR="00F013B0" w:rsidRPr="00C25171" w:rsidRDefault="00F013B0" w:rsidP="00DD0B52">
            <w:r w:rsidRPr="00C25171">
              <w:rPr>
                <w:b/>
                <w:bCs/>
              </w:rPr>
              <w:t>R-squared:</w:t>
            </w:r>
          </w:p>
        </w:tc>
        <w:tc>
          <w:tcPr>
            <w:tcW w:w="0" w:type="auto"/>
            <w:vAlign w:val="center"/>
            <w:hideMark/>
          </w:tcPr>
          <w:p w14:paraId="359C4C73" w14:textId="77777777" w:rsidR="00F013B0" w:rsidRPr="00C25171" w:rsidRDefault="00F013B0" w:rsidP="00DD0B52">
            <w:r w:rsidRPr="00C25171">
              <w:t>0.2684</w:t>
            </w:r>
          </w:p>
        </w:tc>
      </w:tr>
      <w:tr w:rsidR="00F013B0" w:rsidRPr="00C25171" w14:paraId="29396216" w14:textId="77777777" w:rsidTr="00F013B0">
        <w:trPr>
          <w:tblCellSpacing w:w="15" w:type="dxa"/>
        </w:trPr>
        <w:tc>
          <w:tcPr>
            <w:tcW w:w="0" w:type="auto"/>
            <w:vAlign w:val="center"/>
            <w:hideMark/>
          </w:tcPr>
          <w:p w14:paraId="1CCFE2E4" w14:textId="77777777" w:rsidR="00F013B0" w:rsidRPr="00C25171" w:rsidRDefault="00F013B0" w:rsidP="00DD0B52">
            <w:r w:rsidRPr="00C25171">
              <w:rPr>
                <w:b/>
                <w:bCs/>
              </w:rPr>
              <w:t>R-squared (Between):</w:t>
            </w:r>
          </w:p>
        </w:tc>
        <w:tc>
          <w:tcPr>
            <w:tcW w:w="0" w:type="auto"/>
            <w:vAlign w:val="center"/>
            <w:hideMark/>
          </w:tcPr>
          <w:p w14:paraId="6E40062A" w14:textId="77777777" w:rsidR="00F013B0" w:rsidRPr="00C25171" w:rsidRDefault="00F013B0" w:rsidP="00DD0B52">
            <w:r w:rsidRPr="00C25171">
              <w:t>0.6012</w:t>
            </w:r>
          </w:p>
        </w:tc>
      </w:tr>
      <w:tr w:rsidR="00F013B0" w:rsidRPr="00C25171" w14:paraId="18B77589" w14:textId="77777777" w:rsidTr="00F013B0">
        <w:trPr>
          <w:tblCellSpacing w:w="15" w:type="dxa"/>
        </w:trPr>
        <w:tc>
          <w:tcPr>
            <w:tcW w:w="0" w:type="auto"/>
            <w:vAlign w:val="center"/>
            <w:hideMark/>
          </w:tcPr>
          <w:p w14:paraId="19749DF7" w14:textId="77777777" w:rsidR="00F013B0" w:rsidRPr="00C25171" w:rsidRDefault="00F013B0" w:rsidP="00DD0B52">
            <w:r w:rsidRPr="00C25171">
              <w:rPr>
                <w:b/>
                <w:bCs/>
              </w:rPr>
              <w:t>R-squared (Within):</w:t>
            </w:r>
          </w:p>
        </w:tc>
        <w:tc>
          <w:tcPr>
            <w:tcW w:w="0" w:type="auto"/>
            <w:vAlign w:val="center"/>
            <w:hideMark/>
          </w:tcPr>
          <w:p w14:paraId="29DCDA82" w14:textId="77777777" w:rsidR="00F013B0" w:rsidRPr="00C25171" w:rsidRDefault="00F013B0" w:rsidP="00DD0B52">
            <w:r w:rsidRPr="00C25171">
              <w:t>0.2684</w:t>
            </w:r>
          </w:p>
        </w:tc>
      </w:tr>
      <w:tr w:rsidR="00F013B0" w:rsidRPr="00C25171" w14:paraId="4E89D77C" w14:textId="77777777" w:rsidTr="00F013B0">
        <w:trPr>
          <w:tblCellSpacing w:w="15" w:type="dxa"/>
        </w:trPr>
        <w:tc>
          <w:tcPr>
            <w:tcW w:w="0" w:type="auto"/>
            <w:vAlign w:val="center"/>
            <w:hideMark/>
          </w:tcPr>
          <w:p w14:paraId="5124C71C" w14:textId="77777777" w:rsidR="00F013B0" w:rsidRPr="00C25171" w:rsidRDefault="00F013B0" w:rsidP="00DD0B52">
            <w:r w:rsidRPr="00C25171">
              <w:rPr>
                <w:b/>
                <w:bCs/>
              </w:rPr>
              <w:t>R-squared (Overall):</w:t>
            </w:r>
          </w:p>
        </w:tc>
        <w:tc>
          <w:tcPr>
            <w:tcW w:w="0" w:type="auto"/>
            <w:vAlign w:val="center"/>
            <w:hideMark/>
          </w:tcPr>
          <w:p w14:paraId="0AF75BCF" w14:textId="77777777" w:rsidR="00F013B0" w:rsidRPr="00C25171" w:rsidRDefault="00F013B0" w:rsidP="00DD0B52">
            <w:r w:rsidRPr="00C25171">
              <w:t>0.5941</w:t>
            </w:r>
          </w:p>
        </w:tc>
      </w:tr>
      <w:tr w:rsidR="00F013B0" w:rsidRPr="00C25171" w14:paraId="6A5A64C3" w14:textId="77777777" w:rsidTr="00F013B0">
        <w:trPr>
          <w:tblCellSpacing w:w="15" w:type="dxa"/>
        </w:trPr>
        <w:tc>
          <w:tcPr>
            <w:tcW w:w="0" w:type="auto"/>
            <w:vAlign w:val="center"/>
            <w:hideMark/>
          </w:tcPr>
          <w:p w14:paraId="191C8E3C" w14:textId="77777777" w:rsidR="00F013B0" w:rsidRPr="00C25171" w:rsidRDefault="00F013B0" w:rsidP="00DD0B52">
            <w:r w:rsidRPr="00C25171">
              <w:rPr>
                <w:b/>
                <w:bCs/>
              </w:rPr>
              <w:t>Log-likelihood:</w:t>
            </w:r>
          </w:p>
        </w:tc>
        <w:tc>
          <w:tcPr>
            <w:tcW w:w="0" w:type="auto"/>
            <w:vAlign w:val="center"/>
            <w:hideMark/>
          </w:tcPr>
          <w:p w14:paraId="778953A2" w14:textId="77777777" w:rsidR="00F013B0" w:rsidRPr="00C25171" w:rsidRDefault="00F013B0" w:rsidP="00DD0B52">
            <w:r w:rsidRPr="00C25171">
              <w:t>226.65</w:t>
            </w:r>
          </w:p>
        </w:tc>
      </w:tr>
    </w:tbl>
    <w:p w14:paraId="28D870DF" w14:textId="77777777" w:rsidR="00C25171" w:rsidRPr="00C25171" w:rsidRDefault="00C25171" w:rsidP="00DD0B52">
      <w:r>
        <w:rPr>
          <w:b/>
          <w:bCs/>
        </w:rPr>
        <w:t xml:space="preserve">Table 8 </w:t>
      </w:r>
      <w:r>
        <w:t xml:space="preserve">Fixed Effects Model </w:t>
      </w:r>
    </w:p>
    <w:p w14:paraId="126EE14C" w14:textId="77777777" w:rsidR="00C25171" w:rsidRPr="007D5E4A" w:rsidRDefault="00C25171" w:rsidP="00DD0B52"/>
    <w:p w14:paraId="42C5E29F" w14:textId="77777777" w:rsidR="00CF3F26" w:rsidRPr="007D5E4A" w:rsidRDefault="00CF3F26" w:rsidP="00DD0B52">
      <w:pPr>
        <w:rPr>
          <w:b/>
          <w:bCs/>
        </w:rPr>
      </w:pPr>
      <w:r w:rsidRPr="007D5E4A">
        <w:rPr>
          <w:b/>
          <w:bCs/>
        </w:rPr>
        <w:t> </w:t>
      </w:r>
    </w:p>
    <w:p w14:paraId="3C93C893" w14:textId="77777777" w:rsidR="00CB2EB7" w:rsidRDefault="00CB2EB7" w:rsidP="00DD0B52"/>
    <w:p w14:paraId="0C828EF0" w14:textId="77777777" w:rsidR="00C25171" w:rsidRDefault="00C25171" w:rsidP="00DD0B52"/>
    <w:p w14:paraId="07B2575F" w14:textId="77777777" w:rsidR="00C25171" w:rsidRDefault="00C25171" w:rsidP="00DD0B52"/>
    <w:p w14:paraId="5FCE843E" w14:textId="77777777" w:rsidR="00C25171" w:rsidRDefault="00C25171" w:rsidP="00DD0B52"/>
    <w:p w14:paraId="10B42939" w14:textId="77777777" w:rsidR="00C25171" w:rsidRDefault="00C25171" w:rsidP="00DD0B52"/>
    <w:p w14:paraId="6A9E3C5B" w14:textId="77777777" w:rsidR="00C25171" w:rsidRDefault="00C25171" w:rsidP="00DD0B52"/>
    <w:p w14:paraId="537E684B" w14:textId="77777777" w:rsidR="00C25171" w:rsidRDefault="00C25171" w:rsidP="00DD0B52"/>
    <w:p w14:paraId="3373DB0A" w14:textId="77777777" w:rsidR="00C25171" w:rsidRDefault="00C25171" w:rsidP="00DD0B52"/>
    <w:p w14:paraId="7EA6E7A5" w14:textId="77777777" w:rsidR="00C25171" w:rsidRDefault="00C25171" w:rsidP="00DD0B52"/>
    <w:p w14:paraId="64119D0D" w14:textId="77777777" w:rsidR="00C25171" w:rsidRDefault="00C25171" w:rsidP="00DD0B52"/>
    <w:p w14:paraId="12C2DC29" w14:textId="77777777" w:rsidR="001E33AA" w:rsidRDefault="001E33AA" w:rsidP="00DD0B52"/>
    <w:p w14:paraId="5884BB9A" w14:textId="77777777" w:rsidR="001E33AA" w:rsidRDefault="001E33AA" w:rsidP="00DD0B52"/>
    <w:tbl>
      <w:tblPr>
        <w:tblpPr w:leftFromText="180" w:rightFromText="180" w:vertAnchor="text" w:horzAnchor="page" w:tblpX="3515" w:tblpY="333"/>
        <w:tblW w:w="7504" w:type="dxa"/>
        <w:tblCellSpacing w:w="15" w:type="dxa"/>
        <w:tblCellMar>
          <w:top w:w="15" w:type="dxa"/>
          <w:left w:w="15" w:type="dxa"/>
          <w:bottom w:w="15" w:type="dxa"/>
          <w:right w:w="15" w:type="dxa"/>
        </w:tblCellMar>
        <w:tblLook w:val="04A0" w:firstRow="1" w:lastRow="0" w:firstColumn="1" w:lastColumn="0" w:noHBand="0" w:noVBand="1"/>
      </w:tblPr>
      <w:tblGrid>
        <w:gridCol w:w="2055"/>
        <w:gridCol w:w="1132"/>
        <w:gridCol w:w="848"/>
        <w:gridCol w:w="983"/>
        <w:gridCol w:w="1243"/>
        <w:gridCol w:w="1243"/>
      </w:tblGrid>
      <w:tr w:rsidR="00C25171" w:rsidRPr="00C25171" w14:paraId="2DC67211" w14:textId="77777777" w:rsidTr="00C25171">
        <w:trPr>
          <w:trHeight w:val="438"/>
          <w:tblHeader/>
          <w:tblCellSpacing w:w="15" w:type="dxa"/>
        </w:trPr>
        <w:tc>
          <w:tcPr>
            <w:tcW w:w="0" w:type="auto"/>
            <w:tcBorders>
              <w:top w:val="single" w:sz="4" w:space="0" w:color="auto"/>
            </w:tcBorders>
            <w:vAlign w:val="center"/>
            <w:hideMark/>
          </w:tcPr>
          <w:p w14:paraId="771DF150" w14:textId="77777777" w:rsidR="00C25171" w:rsidRPr="00C25171" w:rsidRDefault="00C25171" w:rsidP="00DD0B52">
            <w:pPr>
              <w:rPr>
                <w:b/>
                <w:bCs/>
              </w:rPr>
            </w:pPr>
            <w:r w:rsidRPr="00C25171">
              <w:rPr>
                <w:b/>
                <w:bCs/>
              </w:rPr>
              <w:t>Parameter</w:t>
            </w:r>
          </w:p>
        </w:tc>
        <w:tc>
          <w:tcPr>
            <w:tcW w:w="0" w:type="auto"/>
            <w:tcBorders>
              <w:top w:val="single" w:sz="4" w:space="0" w:color="auto"/>
            </w:tcBorders>
            <w:vAlign w:val="center"/>
            <w:hideMark/>
          </w:tcPr>
          <w:p w14:paraId="52BF7941" w14:textId="77777777" w:rsidR="00C25171" w:rsidRPr="00C25171" w:rsidRDefault="00C25171" w:rsidP="00DD0B52">
            <w:pPr>
              <w:rPr>
                <w:b/>
                <w:bCs/>
              </w:rPr>
            </w:pPr>
            <w:r w:rsidRPr="00C25171">
              <w:rPr>
                <w:b/>
                <w:bCs/>
              </w:rPr>
              <w:t>Std. Err.</w:t>
            </w:r>
          </w:p>
        </w:tc>
        <w:tc>
          <w:tcPr>
            <w:tcW w:w="0" w:type="auto"/>
            <w:tcBorders>
              <w:top w:val="single" w:sz="4" w:space="0" w:color="auto"/>
            </w:tcBorders>
            <w:vAlign w:val="center"/>
            <w:hideMark/>
          </w:tcPr>
          <w:p w14:paraId="169BA1BC" w14:textId="77777777" w:rsidR="00C25171" w:rsidRPr="00C25171" w:rsidRDefault="00C25171" w:rsidP="00DD0B52">
            <w:pPr>
              <w:rPr>
                <w:b/>
                <w:bCs/>
              </w:rPr>
            </w:pPr>
            <w:r w:rsidRPr="00C25171">
              <w:rPr>
                <w:b/>
                <w:bCs/>
              </w:rPr>
              <w:t>T-stat</w:t>
            </w:r>
          </w:p>
        </w:tc>
        <w:tc>
          <w:tcPr>
            <w:tcW w:w="0" w:type="auto"/>
            <w:tcBorders>
              <w:top w:val="single" w:sz="4" w:space="0" w:color="auto"/>
            </w:tcBorders>
            <w:vAlign w:val="center"/>
            <w:hideMark/>
          </w:tcPr>
          <w:p w14:paraId="6B986B15" w14:textId="77777777" w:rsidR="00C25171" w:rsidRPr="00C25171" w:rsidRDefault="00C25171" w:rsidP="00DD0B52">
            <w:pPr>
              <w:rPr>
                <w:b/>
                <w:bCs/>
              </w:rPr>
            </w:pPr>
            <w:r w:rsidRPr="00C25171">
              <w:rPr>
                <w:b/>
                <w:bCs/>
              </w:rPr>
              <w:t>P-value</w:t>
            </w:r>
          </w:p>
        </w:tc>
        <w:tc>
          <w:tcPr>
            <w:tcW w:w="0" w:type="auto"/>
            <w:tcBorders>
              <w:top w:val="single" w:sz="4" w:space="0" w:color="auto"/>
            </w:tcBorders>
            <w:vAlign w:val="center"/>
            <w:hideMark/>
          </w:tcPr>
          <w:p w14:paraId="5150F0E6" w14:textId="77777777" w:rsidR="00C25171" w:rsidRPr="00C25171" w:rsidRDefault="00C25171" w:rsidP="00DD0B52">
            <w:pPr>
              <w:rPr>
                <w:b/>
                <w:bCs/>
              </w:rPr>
            </w:pPr>
            <w:r w:rsidRPr="00C25171">
              <w:rPr>
                <w:b/>
                <w:bCs/>
              </w:rPr>
              <w:t>Lower CI</w:t>
            </w:r>
          </w:p>
        </w:tc>
        <w:tc>
          <w:tcPr>
            <w:tcW w:w="0" w:type="auto"/>
            <w:tcBorders>
              <w:top w:val="single" w:sz="4" w:space="0" w:color="auto"/>
            </w:tcBorders>
            <w:vAlign w:val="center"/>
            <w:hideMark/>
          </w:tcPr>
          <w:p w14:paraId="29369387" w14:textId="77777777" w:rsidR="00C25171" w:rsidRPr="00C25171" w:rsidRDefault="00C25171" w:rsidP="00DD0B52">
            <w:pPr>
              <w:rPr>
                <w:b/>
                <w:bCs/>
              </w:rPr>
            </w:pPr>
            <w:r w:rsidRPr="00C25171">
              <w:rPr>
                <w:b/>
                <w:bCs/>
              </w:rPr>
              <w:t>Upper CI</w:t>
            </w:r>
          </w:p>
        </w:tc>
      </w:tr>
      <w:tr w:rsidR="00C25171" w:rsidRPr="00C25171" w14:paraId="156D9805" w14:textId="77777777" w:rsidTr="00C25171">
        <w:trPr>
          <w:trHeight w:val="438"/>
          <w:tblCellSpacing w:w="15" w:type="dxa"/>
        </w:trPr>
        <w:tc>
          <w:tcPr>
            <w:tcW w:w="0" w:type="auto"/>
            <w:tcBorders>
              <w:top w:val="single" w:sz="4" w:space="0" w:color="auto"/>
            </w:tcBorders>
            <w:vAlign w:val="center"/>
            <w:hideMark/>
          </w:tcPr>
          <w:p w14:paraId="3112CFB7" w14:textId="77777777" w:rsidR="00C25171" w:rsidRPr="00C25171" w:rsidRDefault="00C25171" w:rsidP="00DD0B52">
            <w:r w:rsidRPr="00C25171">
              <w:rPr>
                <w:b/>
                <w:bCs/>
              </w:rPr>
              <w:t>const</w:t>
            </w:r>
          </w:p>
        </w:tc>
        <w:tc>
          <w:tcPr>
            <w:tcW w:w="0" w:type="auto"/>
            <w:tcBorders>
              <w:top w:val="single" w:sz="4" w:space="0" w:color="auto"/>
            </w:tcBorders>
            <w:vAlign w:val="center"/>
            <w:hideMark/>
          </w:tcPr>
          <w:p w14:paraId="39B77BA5" w14:textId="77777777" w:rsidR="00C25171" w:rsidRPr="00C25171" w:rsidRDefault="00C25171" w:rsidP="00DD0B52">
            <w:r w:rsidRPr="00C25171">
              <w:t>8.6276</w:t>
            </w:r>
          </w:p>
        </w:tc>
        <w:tc>
          <w:tcPr>
            <w:tcW w:w="0" w:type="auto"/>
            <w:tcBorders>
              <w:top w:val="single" w:sz="4" w:space="0" w:color="auto"/>
            </w:tcBorders>
            <w:vAlign w:val="center"/>
            <w:hideMark/>
          </w:tcPr>
          <w:p w14:paraId="4F0F2C74" w14:textId="77777777" w:rsidR="00C25171" w:rsidRPr="00C25171" w:rsidRDefault="00C25171" w:rsidP="00DD0B52">
            <w:r w:rsidRPr="00C25171">
              <w:t>0.3805</w:t>
            </w:r>
          </w:p>
        </w:tc>
        <w:tc>
          <w:tcPr>
            <w:tcW w:w="0" w:type="auto"/>
            <w:tcBorders>
              <w:top w:val="single" w:sz="4" w:space="0" w:color="auto"/>
            </w:tcBorders>
            <w:vAlign w:val="center"/>
            <w:hideMark/>
          </w:tcPr>
          <w:p w14:paraId="14292ADF" w14:textId="77777777" w:rsidR="00C25171" w:rsidRPr="00C25171" w:rsidRDefault="00C25171" w:rsidP="00DD0B52">
            <w:r w:rsidRPr="00C25171">
              <w:t>22.677</w:t>
            </w:r>
          </w:p>
        </w:tc>
        <w:tc>
          <w:tcPr>
            <w:tcW w:w="0" w:type="auto"/>
            <w:tcBorders>
              <w:top w:val="single" w:sz="4" w:space="0" w:color="auto"/>
            </w:tcBorders>
            <w:vAlign w:val="center"/>
            <w:hideMark/>
          </w:tcPr>
          <w:p w14:paraId="0A5E607E" w14:textId="77777777" w:rsidR="00C25171" w:rsidRPr="00C25171" w:rsidRDefault="00C25171" w:rsidP="00DD0B52">
            <w:r w:rsidRPr="00C25171">
              <w:t>0.0000</w:t>
            </w:r>
          </w:p>
        </w:tc>
        <w:tc>
          <w:tcPr>
            <w:tcW w:w="0" w:type="auto"/>
            <w:tcBorders>
              <w:top w:val="single" w:sz="4" w:space="0" w:color="auto"/>
            </w:tcBorders>
            <w:vAlign w:val="center"/>
            <w:hideMark/>
          </w:tcPr>
          <w:p w14:paraId="61A86D15" w14:textId="77777777" w:rsidR="00C25171" w:rsidRPr="00C25171" w:rsidRDefault="00C25171" w:rsidP="00DD0B52">
            <w:r w:rsidRPr="00C25171">
              <w:t>7.8807</w:t>
            </w:r>
          </w:p>
        </w:tc>
      </w:tr>
      <w:tr w:rsidR="00C25171" w:rsidRPr="00C25171" w14:paraId="1F9CA9B7" w14:textId="77777777" w:rsidTr="00C25171">
        <w:trPr>
          <w:trHeight w:val="438"/>
          <w:tblCellSpacing w:w="15" w:type="dxa"/>
        </w:trPr>
        <w:tc>
          <w:tcPr>
            <w:tcW w:w="0" w:type="auto"/>
            <w:vAlign w:val="center"/>
            <w:hideMark/>
          </w:tcPr>
          <w:p w14:paraId="286DC60B" w14:textId="77777777" w:rsidR="00C25171" w:rsidRPr="00C25171" w:rsidRDefault="00C25171" w:rsidP="00DD0B52">
            <w:r w:rsidRPr="00C25171">
              <w:rPr>
                <w:b/>
                <w:bCs/>
              </w:rPr>
              <w:t>Life_expectancy</w:t>
            </w:r>
          </w:p>
        </w:tc>
        <w:tc>
          <w:tcPr>
            <w:tcW w:w="0" w:type="auto"/>
            <w:vAlign w:val="center"/>
            <w:hideMark/>
          </w:tcPr>
          <w:p w14:paraId="16535FC0" w14:textId="77777777" w:rsidR="00C25171" w:rsidRPr="00C25171" w:rsidRDefault="00C25171" w:rsidP="00DD0B52">
            <w:r w:rsidRPr="00C25171">
              <w:t>-0.0836</w:t>
            </w:r>
          </w:p>
        </w:tc>
        <w:tc>
          <w:tcPr>
            <w:tcW w:w="0" w:type="auto"/>
            <w:vAlign w:val="center"/>
            <w:hideMark/>
          </w:tcPr>
          <w:p w14:paraId="178D14BB" w14:textId="77777777" w:rsidR="00C25171" w:rsidRPr="00C25171" w:rsidRDefault="00C25171" w:rsidP="00DD0B52">
            <w:r w:rsidRPr="00C25171">
              <w:t>0.0053</w:t>
            </w:r>
          </w:p>
        </w:tc>
        <w:tc>
          <w:tcPr>
            <w:tcW w:w="0" w:type="auto"/>
            <w:vAlign w:val="center"/>
            <w:hideMark/>
          </w:tcPr>
          <w:p w14:paraId="1A610475" w14:textId="77777777" w:rsidR="00C25171" w:rsidRPr="00C25171" w:rsidRDefault="00C25171" w:rsidP="00DD0B52">
            <w:r w:rsidRPr="00C25171">
              <w:t>-15.803</w:t>
            </w:r>
          </w:p>
        </w:tc>
        <w:tc>
          <w:tcPr>
            <w:tcW w:w="0" w:type="auto"/>
            <w:vAlign w:val="center"/>
            <w:hideMark/>
          </w:tcPr>
          <w:p w14:paraId="16F4AAAA" w14:textId="77777777" w:rsidR="00C25171" w:rsidRPr="00C25171" w:rsidRDefault="00C25171" w:rsidP="00DD0B52">
            <w:r w:rsidRPr="00C25171">
              <w:t>0.0000</w:t>
            </w:r>
          </w:p>
        </w:tc>
        <w:tc>
          <w:tcPr>
            <w:tcW w:w="0" w:type="auto"/>
            <w:vAlign w:val="center"/>
            <w:hideMark/>
          </w:tcPr>
          <w:p w14:paraId="4343EB0A" w14:textId="77777777" w:rsidR="00C25171" w:rsidRPr="00C25171" w:rsidRDefault="00C25171" w:rsidP="00DD0B52">
            <w:r w:rsidRPr="00C25171">
              <w:t>-0.0940</w:t>
            </w:r>
          </w:p>
        </w:tc>
      </w:tr>
      <w:tr w:rsidR="00C25171" w:rsidRPr="00C25171" w14:paraId="2C74E4AF" w14:textId="77777777" w:rsidTr="00C25171">
        <w:trPr>
          <w:trHeight w:val="410"/>
          <w:tblCellSpacing w:w="15" w:type="dxa"/>
        </w:trPr>
        <w:tc>
          <w:tcPr>
            <w:tcW w:w="0" w:type="auto"/>
            <w:vAlign w:val="center"/>
            <w:hideMark/>
          </w:tcPr>
          <w:p w14:paraId="5827851B" w14:textId="77777777" w:rsidR="00C25171" w:rsidRPr="00C25171" w:rsidRDefault="00C25171" w:rsidP="00DD0B52">
            <w:r w:rsidRPr="00C25171">
              <w:rPr>
                <w:b/>
                <w:bCs/>
              </w:rPr>
              <w:t>Population</w:t>
            </w:r>
          </w:p>
        </w:tc>
        <w:tc>
          <w:tcPr>
            <w:tcW w:w="0" w:type="auto"/>
            <w:vAlign w:val="center"/>
            <w:hideMark/>
          </w:tcPr>
          <w:p w14:paraId="7F2A3C6A" w14:textId="77777777" w:rsidR="00C25171" w:rsidRPr="00C25171" w:rsidRDefault="00C25171" w:rsidP="00DD0B52">
            <w:r w:rsidRPr="00C25171">
              <w:t>0.0368</w:t>
            </w:r>
          </w:p>
        </w:tc>
        <w:tc>
          <w:tcPr>
            <w:tcW w:w="0" w:type="auto"/>
            <w:vAlign w:val="center"/>
            <w:hideMark/>
          </w:tcPr>
          <w:p w14:paraId="125CA606" w14:textId="77777777" w:rsidR="00C25171" w:rsidRPr="00C25171" w:rsidRDefault="00C25171" w:rsidP="00DD0B52">
            <w:r w:rsidRPr="00C25171">
              <w:t>0.0067</w:t>
            </w:r>
          </w:p>
        </w:tc>
        <w:tc>
          <w:tcPr>
            <w:tcW w:w="0" w:type="auto"/>
            <w:vAlign w:val="center"/>
            <w:hideMark/>
          </w:tcPr>
          <w:p w14:paraId="0759DCDF" w14:textId="77777777" w:rsidR="00C25171" w:rsidRPr="00C25171" w:rsidRDefault="00C25171" w:rsidP="00DD0B52">
            <w:r w:rsidRPr="00C25171">
              <w:t>5.5117</w:t>
            </w:r>
          </w:p>
        </w:tc>
        <w:tc>
          <w:tcPr>
            <w:tcW w:w="0" w:type="auto"/>
            <w:vAlign w:val="center"/>
            <w:hideMark/>
          </w:tcPr>
          <w:p w14:paraId="1D7AFC54" w14:textId="77777777" w:rsidR="00C25171" w:rsidRPr="00C25171" w:rsidRDefault="00C25171" w:rsidP="00DD0B52">
            <w:r w:rsidRPr="00C25171">
              <w:t>0.0000</w:t>
            </w:r>
          </w:p>
        </w:tc>
        <w:tc>
          <w:tcPr>
            <w:tcW w:w="0" w:type="auto"/>
            <w:vAlign w:val="center"/>
            <w:hideMark/>
          </w:tcPr>
          <w:p w14:paraId="122EE787" w14:textId="77777777" w:rsidR="00C25171" w:rsidRPr="00C25171" w:rsidRDefault="00C25171" w:rsidP="00DD0B52">
            <w:r w:rsidRPr="00C25171">
              <w:t>0.0237</w:t>
            </w:r>
          </w:p>
        </w:tc>
      </w:tr>
    </w:tbl>
    <w:p w14:paraId="1B75E1B9" w14:textId="77777777" w:rsidR="00C25171" w:rsidRPr="002A155C" w:rsidRDefault="00C25171" w:rsidP="00DD0B52">
      <w:pPr>
        <w:rPr>
          <w:b/>
          <w:bCs/>
        </w:rPr>
      </w:pPr>
    </w:p>
    <w:p w14:paraId="14612903" w14:textId="77777777" w:rsidR="00C25171" w:rsidRPr="007D5E4A" w:rsidRDefault="00C25171" w:rsidP="00DD0B52">
      <w:r w:rsidRPr="002A155C">
        <w:rPr>
          <w:b/>
          <w:bCs/>
        </w:rPr>
        <w:t>Table 9</w:t>
      </w:r>
      <w:r>
        <w:t xml:space="preserve"> Parameter Estimates for Life Expectancy and Population Growth </w:t>
      </w:r>
    </w:p>
    <w:p w14:paraId="6E6F1168" w14:textId="77777777" w:rsidR="00C25171" w:rsidRPr="007D5E4A" w:rsidRDefault="00C25171" w:rsidP="00DD0B52"/>
    <w:p w14:paraId="35FBC143" w14:textId="77777777" w:rsidR="00CF3F26" w:rsidRPr="007D5E4A" w:rsidRDefault="00CF3F26" w:rsidP="00DD0B52"/>
    <w:p w14:paraId="1631F232" w14:textId="77777777" w:rsidR="00C25171" w:rsidRDefault="00C25171" w:rsidP="00DD0B52"/>
    <w:p w14:paraId="15252D40" w14:textId="77777777" w:rsidR="00CF3F26" w:rsidRPr="007D5E4A" w:rsidRDefault="00CF3F26" w:rsidP="00DD0B52">
      <w:r w:rsidRPr="007D5E4A">
        <w:br/>
      </w:r>
    </w:p>
    <w:p w14:paraId="4E45B5DC" w14:textId="7A24F6AC" w:rsidR="00CF3F26" w:rsidRPr="007D5E4A" w:rsidRDefault="00CF3F26" w:rsidP="00DD0B52">
      <w:pPr>
        <w:numPr>
          <w:ilvl w:val="0"/>
          <w:numId w:val="5"/>
        </w:numPr>
      </w:pPr>
      <w:r w:rsidRPr="007D5E4A">
        <w:t>The coefficient for life expectancy is</w:t>
      </w:r>
      <w:r w:rsidR="00022E49" w:rsidRPr="007D5E4A">
        <w:t xml:space="preserve"> </w:t>
      </w:r>
      <w:r w:rsidRPr="007D5E4A">
        <w:t>−0.0836, indicating a statistically significant negative relationship between life expectancy and fertility rate. This suggests that as life expectancy increases, fertility rates tend to decrease.</w:t>
      </w:r>
    </w:p>
    <w:p w14:paraId="635E88F2" w14:textId="7F9D39F5" w:rsidR="00CF3F26" w:rsidRPr="007D5E4A" w:rsidRDefault="00CF3F26" w:rsidP="00DD0B52">
      <w:pPr>
        <w:numPr>
          <w:ilvl w:val="0"/>
          <w:numId w:val="5"/>
        </w:numPr>
      </w:pPr>
      <w:r w:rsidRPr="007D5E4A">
        <w:t>Population growth rate has a positive coefficient (0.0368), suggesting that higher population growth rates are associated with slightly higher fertility rates.</w:t>
      </w:r>
    </w:p>
    <w:p w14:paraId="3CB88574" w14:textId="4804605A" w:rsidR="00CF3F26" w:rsidRPr="007D5E4A" w:rsidRDefault="00CF3F26" w:rsidP="00DD0B52">
      <w:pPr>
        <w:numPr>
          <w:ilvl w:val="0"/>
          <w:numId w:val="5"/>
        </w:numPr>
      </w:pPr>
      <w:r w:rsidRPr="007D5E4A">
        <w:t>The model’s R</w:t>
      </w:r>
      <w:r w:rsidRPr="00A83277">
        <w:rPr>
          <w:vertAlign w:val="superscript"/>
        </w:rPr>
        <w:t>2</w:t>
      </w:r>
      <w:r w:rsidRPr="007D5E4A">
        <w:t xml:space="preserve"> value (0.2684) suggests that while the model explains some variance in fertility rates within countries over time, a large portion remains unexplained, potentially due to other factors not included in this analysis.</w:t>
      </w:r>
    </w:p>
    <w:p w14:paraId="0DE48F4E" w14:textId="3CE18197" w:rsidR="00CF3F26" w:rsidRDefault="00CF3F26" w:rsidP="00DD0B52">
      <w:pPr>
        <w:numPr>
          <w:ilvl w:val="0"/>
          <w:numId w:val="6"/>
        </w:numPr>
      </w:pPr>
      <w:r w:rsidRPr="007D5E4A">
        <w:t>The life expectancy coefficient is more negative (−0.1099) compared to the Fixed Effects model, with a similar level of statistical significance. This reinforces the inverse relationship between life expectancy and fertility rates across different income groups.</w:t>
      </w:r>
    </w:p>
    <w:p w14:paraId="145A66D9" w14:textId="77777777" w:rsidR="002A155C" w:rsidRDefault="002A155C" w:rsidP="00DD0B52"/>
    <w:p w14:paraId="6B285F8E" w14:textId="77777777" w:rsidR="009D0527" w:rsidRDefault="009D0527" w:rsidP="00DD0B52">
      <w:pPr>
        <w:ind w:left="720"/>
        <w:rPr>
          <w:b/>
          <w:bCs/>
        </w:rPr>
      </w:pPr>
    </w:p>
    <w:p w14:paraId="06E6CACB" w14:textId="77777777" w:rsidR="004B4B13" w:rsidRDefault="004B4B13" w:rsidP="00DD0B52">
      <w:pPr>
        <w:ind w:left="720"/>
        <w:rPr>
          <w:b/>
          <w:bCs/>
        </w:rPr>
      </w:pPr>
    </w:p>
    <w:p w14:paraId="5EFE7921" w14:textId="77777777" w:rsidR="004B4B13" w:rsidRDefault="004B4B13" w:rsidP="00DD0B52">
      <w:pPr>
        <w:ind w:left="720"/>
        <w:rPr>
          <w:b/>
          <w:bCs/>
        </w:rPr>
      </w:pPr>
    </w:p>
    <w:p w14:paraId="0D168FA8" w14:textId="77777777" w:rsidR="00B816CD" w:rsidRDefault="00B816CD" w:rsidP="00DD0B52">
      <w:pPr>
        <w:ind w:left="720"/>
        <w:rPr>
          <w:b/>
          <w:bCs/>
        </w:rPr>
      </w:pPr>
    </w:p>
    <w:p w14:paraId="6379C758" w14:textId="77777777" w:rsidR="004B4B13" w:rsidRDefault="004B4B13" w:rsidP="00DD0B52">
      <w:pPr>
        <w:ind w:left="720"/>
        <w:rPr>
          <w:b/>
          <w:bCs/>
        </w:rPr>
      </w:pPr>
    </w:p>
    <w:p w14:paraId="51E16B6F" w14:textId="77777777" w:rsidR="004B4B13" w:rsidRDefault="004B4B13" w:rsidP="00DD0B52">
      <w:pPr>
        <w:ind w:left="720"/>
        <w:rPr>
          <w:b/>
          <w:bCs/>
        </w:rPr>
      </w:pPr>
    </w:p>
    <w:p w14:paraId="4FE373D0" w14:textId="77777777" w:rsidR="004B4B13" w:rsidRDefault="004B4B13" w:rsidP="00DD0B52">
      <w:pPr>
        <w:ind w:left="720"/>
        <w:rPr>
          <w:b/>
          <w:bCs/>
        </w:rPr>
      </w:pPr>
    </w:p>
    <w:p w14:paraId="63DEE161" w14:textId="77777777" w:rsidR="004B4B13" w:rsidRDefault="004B4B13" w:rsidP="00DD0B52">
      <w:pPr>
        <w:ind w:left="720"/>
        <w:rPr>
          <w:b/>
          <w:bCs/>
        </w:rPr>
      </w:pPr>
    </w:p>
    <w:p w14:paraId="787938E0" w14:textId="77777777" w:rsidR="004B4B13" w:rsidRDefault="004B4B13" w:rsidP="00DD0B52">
      <w:pPr>
        <w:ind w:left="720"/>
        <w:rPr>
          <w:b/>
          <w:bCs/>
        </w:rPr>
      </w:pPr>
    </w:p>
    <w:p w14:paraId="5D87E621" w14:textId="77777777" w:rsidR="004B4B13" w:rsidRDefault="004B4B13" w:rsidP="00DD0B52">
      <w:pPr>
        <w:ind w:left="720"/>
        <w:rPr>
          <w:b/>
          <w:bCs/>
        </w:rPr>
      </w:pPr>
    </w:p>
    <w:tbl>
      <w:tblPr>
        <w:tblpPr w:leftFromText="180" w:rightFromText="180" w:vertAnchor="text" w:horzAnchor="margin" w:tblpXSpec="right" w:tblpY="56"/>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1901"/>
      </w:tblGrid>
      <w:tr w:rsidR="009D0527" w:rsidRPr="002A155C" w14:paraId="23DC6C0E" w14:textId="77777777" w:rsidTr="009D0527">
        <w:trPr>
          <w:tblCellSpacing w:w="15" w:type="dxa"/>
        </w:trPr>
        <w:tc>
          <w:tcPr>
            <w:tcW w:w="0" w:type="auto"/>
            <w:tcBorders>
              <w:top w:val="single" w:sz="4" w:space="0" w:color="auto"/>
            </w:tcBorders>
            <w:vAlign w:val="center"/>
            <w:hideMark/>
          </w:tcPr>
          <w:p w14:paraId="41946A76" w14:textId="77777777" w:rsidR="009D0527" w:rsidRPr="002A155C" w:rsidRDefault="009D0527" w:rsidP="00DD0B52">
            <w:r w:rsidRPr="002A155C">
              <w:rPr>
                <w:b/>
                <w:bCs/>
              </w:rPr>
              <w:lastRenderedPageBreak/>
              <w:t>Dep. Variable:</w:t>
            </w:r>
          </w:p>
        </w:tc>
        <w:tc>
          <w:tcPr>
            <w:tcW w:w="0" w:type="auto"/>
            <w:tcBorders>
              <w:top w:val="single" w:sz="4" w:space="0" w:color="auto"/>
            </w:tcBorders>
            <w:vAlign w:val="center"/>
            <w:hideMark/>
          </w:tcPr>
          <w:p w14:paraId="75C50EF9" w14:textId="77777777" w:rsidR="009D0527" w:rsidRPr="002A155C" w:rsidRDefault="009D0527" w:rsidP="00DD0B52">
            <w:r w:rsidRPr="002A155C">
              <w:t>Total_fertility_rate</w:t>
            </w:r>
          </w:p>
        </w:tc>
      </w:tr>
      <w:tr w:rsidR="009D0527" w:rsidRPr="002A155C" w14:paraId="1EB73D65" w14:textId="77777777" w:rsidTr="009D0527">
        <w:trPr>
          <w:tblCellSpacing w:w="15" w:type="dxa"/>
        </w:trPr>
        <w:tc>
          <w:tcPr>
            <w:tcW w:w="0" w:type="auto"/>
            <w:tcBorders>
              <w:top w:val="single" w:sz="4" w:space="0" w:color="auto"/>
            </w:tcBorders>
            <w:vAlign w:val="center"/>
            <w:hideMark/>
          </w:tcPr>
          <w:p w14:paraId="5A2A29D4" w14:textId="77777777" w:rsidR="009D0527" w:rsidRPr="002A155C" w:rsidRDefault="009D0527" w:rsidP="00DD0B52">
            <w:r w:rsidRPr="002A155C">
              <w:rPr>
                <w:b/>
                <w:bCs/>
              </w:rPr>
              <w:t>Estimator:</w:t>
            </w:r>
          </w:p>
        </w:tc>
        <w:tc>
          <w:tcPr>
            <w:tcW w:w="0" w:type="auto"/>
            <w:tcBorders>
              <w:top w:val="single" w:sz="4" w:space="0" w:color="auto"/>
            </w:tcBorders>
            <w:vAlign w:val="center"/>
            <w:hideMark/>
          </w:tcPr>
          <w:p w14:paraId="1E939491" w14:textId="77777777" w:rsidR="009D0527" w:rsidRPr="002A155C" w:rsidRDefault="009D0527" w:rsidP="00DD0B52">
            <w:r w:rsidRPr="002A155C">
              <w:t>RandomEffects</w:t>
            </w:r>
          </w:p>
        </w:tc>
      </w:tr>
      <w:tr w:rsidR="009D0527" w:rsidRPr="002A155C" w14:paraId="27CBACDB" w14:textId="77777777" w:rsidTr="009D0527">
        <w:trPr>
          <w:tblCellSpacing w:w="15" w:type="dxa"/>
        </w:trPr>
        <w:tc>
          <w:tcPr>
            <w:tcW w:w="0" w:type="auto"/>
            <w:vAlign w:val="center"/>
            <w:hideMark/>
          </w:tcPr>
          <w:p w14:paraId="76BB0070" w14:textId="77777777" w:rsidR="009D0527" w:rsidRPr="002A155C" w:rsidRDefault="009D0527" w:rsidP="00DD0B52">
            <w:r w:rsidRPr="002A155C">
              <w:rPr>
                <w:b/>
                <w:bCs/>
              </w:rPr>
              <w:t>No. Observations:</w:t>
            </w:r>
          </w:p>
        </w:tc>
        <w:tc>
          <w:tcPr>
            <w:tcW w:w="0" w:type="auto"/>
            <w:vAlign w:val="center"/>
            <w:hideMark/>
          </w:tcPr>
          <w:p w14:paraId="7F0CC417" w14:textId="77777777" w:rsidR="009D0527" w:rsidRPr="002A155C" w:rsidRDefault="009D0527" w:rsidP="00DD0B52">
            <w:r w:rsidRPr="002A155C">
              <w:t>1004</w:t>
            </w:r>
          </w:p>
        </w:tc>
      </w:tr>
      <w:tr w:rsidR="009D0527" w:rsidRPr="002A155C" w14:paraId="3674EF51" w14:textId="77777777" w:rsidTr="009D0527">
        <w:trPr>
          <w:tblCellSpacing w:w="15" w:type="dxa"/>
        </w:trPr>
        <w:tc>
          <w:tcPr>
            <w:tcW w:w="0" w:type="auto"/>
            <w:vAlign w:val="center"/>
            <w:hideMark/>
          </w:tcPr>
          <w:p w14:paraId="4BB302D5" w14:textId="77777777" w:rsidR="009D0527" w:rsidRPr="002A155C" w:rsidRDefault="009D0527" w:rsidP="00DD0B52">
            <w:r w:rsidRPr="002A155C">
              <w:rPr>
                <w:b/>
                <w:bCs/>
              </w:rPr>
              <w:t>Date:</w:t>
            </w:r>
          </w:p>
        </w:tc>
        <w:tc>
          <w:tcPr>
            <w:tcW w:w="0" w:type="auto"/>
            <w:vAlign w:val="center"/>
            <w:hideMark/>
          </w:tcPr>
          <w:p w14:paraId="2D8084D7" w14:textId="77777777" w:rsidR="009D0527" w:rsidRPr="002A155C" w:rsidRDefault="009D0527" w:rsidP="00DD0B52">
            <w:r w:rsidRPr="002A155C">
              <w:t>Thu, Oct 17 2024</w:t>
            </w:r>
          </w:p>
        </w:tc>
      </w:tr>
      <w:tr w:rsidR="009D0527" w:rsidRPr="002A155C" w14:paraId="2D8ACC18" w14:textId="77777777" w:rsidTr="009D0527">
        <w:trPr>
          <w:tblCellSpacing w:w="15" w:type="dxa"/>
        </w:trPr>
        <w:tc>
          <w:tcPr>
            <w:tcW w:w="0" w:type="auto"/>
            <w:vAlign w:val="center"/>
            <w:hideMark/>
          </w:tcPr>
          <w:p w14:paraId="3F0DCDA5" w14:textId="77777777" w:rsidR="009D0527" w:rsidRPr="002A155C" w:rsidRDefault="009D0527" w:rsidP="00DD0B52">
            <w:r w:rsidRPr="002A155C">
              <w:rPr>
                <w:b/>
                <w:bCs/>
              </w:rPr>
              <w:t>Time:</w:t>
            </w:r>
          </w:p>
        </w:tc>
        <w:tc>
          <w:tcPr>
            <w:tcW w:w="0" w:type="auto"/>
            <w:vAlign w:val="center"/>
            <w:hideMark/>
          </w:tcPr>
          <w:p w14:paraId="0F96F6E8" w14:textId="77777777" w:rsidR="009D0527" w:rsidRPr="002A155C" w:rsidRDefault="009D0527" w:rsidP="00DD0B52">
            <w:r w:rsidRPr="002A155C">
              <w:t>19:29:45</w:t>
            </w:r>
          </w:p>
        </w:tc>
      </w:tr>
      <w:tr w:rsidR="009D0527" w:rsidRPr="002A155C" w14:paraId="4E548E3B" w14:textId="77777777" w:rsidTr="009D0527">
        <w:trPr>
          <w:tblCellSpacing w:w="15" w:type="dxa"/>
        </w:trPr>
        <w:tc>
          <w:tcPr>
            <w:tcW w:w="0" w:type="auto"/>
            <w:vAlign w:val="center"/>
            <w:hideMark/>
          </w:tcPr>
          <w:p w14:paraId="40C475D5" w14:textId="77777777" w:rsidR="009D0527" w:rsidRPr="002A155C" w:rsidRDefault="009D0527" w:rsidP="00DD0B52">
            <w:r w:rsidRPr="002A155C">
              <w:rPr>
                <w:b/>
                <w:bCs/>
              </w:rPr>
              <w:t>Cov. Estimator:</w:t>
            </w:r>
          </w:p>
        </w:tc>
        <w:tc>
          <w:tcPr>
            <w:tcW w:w="0" w:type="auto"/>
            <w:vAlign w:val="center"/>
            <w:hideMark/>
          </w:tcPr>
          <w:p w14:paraId="4BE9404C" w14:textId="77777777" w:rsidR="009D0527" w:rsidRPr="002A155C" w:rsidRDefault="009D0527" w:rsidP="00DD0B52">
            <w:r w:rsidRPr="002A155C">
              <w:t>Unadjusted</w:t>
            </w:r>
          </w:p>
        </w:tc>
      </w:tr>
      <w:tr w:rsidR="009D0527" w:rsidRPr="002A155C" w14:paraId="0C64B445" w14:textId="77777777" w:rsidTr="009D0527">
        <w:trPr>
          <w:tblCellSpacing w:w="15" w:type="dxa"/>
        </w:trPr>
        <w:tc>
          <w:tcPr>
            <w:tcW w:w="0" w:type="auto"/>
            <w:vAlign w:val="center"/>
            <w:hideMark/>
          </w:tcPr>
          <w:p w14:paraId="1CE1597C" w14:textId="77777777" w:rsidR="009D0527" w:rsidRPr="002A155C" w:rsidRDefault="009D0527" w:rsidP="00DD0B52">
            <w:r w:rsidRPr="002A155C">
              <w:rPr>
                <w:b/>
                <w:bCs/>
              </w:rPr>
              <w:t>R-squared:</w:t>
            </w:r>
          </w:p>
        </w:tc>
        <w:tc>
          <w:tcPr>
            <w:tcW w:w="0" w:type="auto"/>
            <w:vAlign w:val="center"/>
            <w:hideMark/>
          </w:tcPr>
          <w:p w14:paraId="0C329AAE" w14:textId="77777777" w:rsidR="009D0527" w:rsidRPr="002A155C" w:rsidRDefault="009D0527" w:rsidP="00DD0B52">
            <w:r w:rsidRPr="002A155C">
              <w:t>0.4659</w:t>
            </w:r>
          </w:p>
        </w:tc>
      </w:tr>
      <w:tr w:rsidR="009D0527" w:rsidRPr="002A155C" w14:paraId="7AE7DB12" w14:textId="77777777" w:rsidTr="009D0527">
        <w:trPr>
          <w:tblCellSpacing w:w="15" w:type="dxa"/>
        </w:trPr>
        <w:tc>
          <w:tcPr>
            <w:tcW w:w="0" w:type="auto"/>
            <w:vAlign w:val="center"/>
            <w:hideMark/>
          </w:tcPr>
          <w:p w14:paraId="0E64713E" w14:textId="77777777" w:rsidR="009D0527" w:rsidRPr="002A155C" w:rsidRDefault="009D0527" w:rsidP="00DD0B52">
            <w:r w:rsidRPr="002A155C">
              <w:rPr>
                <w:b/>
                <w:bCs/>
              </w:rPr>
              <w:t>R-squared (Between):</w:t>
            </w:r>
          </w:p>
        </w:tc>
        <w:tc>
          <w:tcPr>
            <w:tcW w:w="0" w:type="auto"/>
            <w:vAlign w:val="center"/>
            <w:hideMark/>
          </w:tcPr>
          <w:p w14:paraId="3E591783" w14:textId="77777777" w:rsidR="009D0527" w:rsidRPr="002A155C" w:rsidRDefault="009D0527" w:rsidP="00DD0B52">
            <w:r w:rsidRPr="002A155C">
              <w:t>0.6795</w:t>
            </w:r>
          </w:p>
        </w:tc>
      </w:tr>
      <w:tr w:rsidR="009D0527" w:rsidRPr="002A155C" w14:paraId="0D5FC853" w14:textId="77777777" w:rsidTr="009D0527">
        <w:trPr>
          <w:tblCellSpacing w:w="15" w:type="dxa"/>
        </w:trPr>
        <w:tc>
          <w:tcPr>
            <w:tcW w:w="0" w:type="auto"/>
            <w:vAlign w:val="center"/>
            <w:hideMark/>
          </w:tcPr>
          <w:p w14:paraId="2BCC439E" w14:textId="77777777" w:rsidR="009D0527" w:rsidRPr="002A155C" w:rsidRDefault="009D0527" w:rsidP="00DD0B52">
            <w:r w:rsidRPr="002A155C">
              <w:rPr>
                <w:b/>
                <w:bCs/>
              </w:rPr>
              <w:t>R-squared (Within):</w:t>
            </w:r>
          </w:p>
        </w:tc>
        <w:tc>
          <w:tcPr>
            <w:tcW w:w="0" w:type="auto"/>
            <w:vAlign w:val="center"/>
            <w:hideMark/>
          </w:tcPr>
          <w:p w14:paraId="564AC476" w14:textId="77777777" w:rsidR="009D0527" w:rsidRPr="002A155C" w:rsidRDefault="009D0527" w:rsidP="00DD0B52">
            <w:r w:rsidRPr="002A155C">
              <w:t>0.2393</w:t>
            </w:r>
          </w:p>
        </w:tc>
      </w:tr>
      <w:tr w:rsidR="009D0527" w:rsidRPr="002A155C" w14:paraId="68DCE290" w14:textId="77777777" w:rsidTr="009D0527">
        <w:trPr>
          <w:tblCellSpacing w:w="15" w:type="dxa"/>
        </w:trPr>
        <w:tc>
          <w:tcPr>
            <w:tcW w:w="0" w:type="auto"/>
            <w:vAlign w:val="center"/>
            <w:hideMark/>
          </w:tcPr>
          <w:p w14:paraId="2E94C962" w14:textId="77777777" w:rsidR="009D0527" w:rsidRPr="002A155C" w:rsidRDefault="009D0527" w:rsidP="00DD0B52">
            <w:r w:rsidRPr="002A155C">
              <w:rPr>
                <w:b/>
                <w:bCs/>
              </w:rPr>
              <w:t>R-squared (Overall):</w:t>
            </w:r>
          </w:p>
        </w:tc>
        <w:tc>
          <w:tcPr>
            <w:tcW w:w="0" w:type="auto"/>
            <w:vAlign w:val="center"/>
            <w:hideMark/>
          </w:tcPr>
          <w:p w14:paraId="1CFE750B" w14:textId="77777777" w:rsidR="009D0527" w:rsidRPr="002A155C" w:rsidRDefault="009D0527" w:rsidP="00DD0B52">
            <w:r w:rsidRPr="002A155C">
              <w:t>0.6714</w:t>
            </w:r>
          </w:p>
        </w:tc>
      </w:tr>
      <w:tr w:rsidR="009D0527" w:rsidRPr="002A155C" w14:paraId="0F18DDF1" w14:textId="77777777" w:rsidTr="009D0527">
        <w:trPr>
          <w:tblCellSpacing w:w="15" w:type="dxa"/>
        </w:trPr>
        <w:tc>
          <w:tcPr>
            <w:tcW w:w="0" w:type="auto"/>
            <w:vAlign w:val="center"/>
            <w:hideMark/>
          </w:tcPr>
          <w:p w14:paraId="7CEC97A9" w14:textId="77777777" w:rsidR="009D0527" w:rsidRPr="002A155C" w:rsidRDefault="009D0527" w:rsidP="00DD0B52">
            <w:r w:rsidRPr="002A155C">
              <w:rPr>
                <w:b/>
                <w:bCs/>
              </w:rPr>
              <w:t>Log-likelihood:</w:t>
            </w:r>
          </w:p>
        </w:tc>
        <w:tc>
          <w:tcPr>
            <w:tcW w:w="0" w:type="auto"/>
            <w:vAlign w:val="center"/>
            <w:hideMark/>
          </w:tcPr>
          <w:p w14:paraId="1B831712" w14:textId="77777777" w:rsidR="009D0527" w:rsidRPr="002A155C" w:rsidRDefault="009D0527" w:rsidP="00DD0B52">
            <w:r w:rsidRPr="002A155C">
              <w:t>8.6004</w:t>
            </w:r>
          </w:p>
        </w:tc>
      </w:tr>
    </w:tbl>
    <w:p w14:paraId="48071634" w14:textId="77777777" w:rsidR="002A155C" w:rsidRPr="002A155C" w:rsidRDefault="002A155C" w:rsidP="00DD0B52">
      <w:pPr>
        <w:ind w:left="720"/>
      </w:pPr>
      <w:r w:rsidRPr="002A155C">
        <w:rPr>
          <w:b/>
          <w:bCs/>
        </w:rPr>
        <w:t>Table 10</w:t>
      </w:r>
      <w:r>
        <w:rPr>
          <w:b/>
          <w:bCs/>
        </w:rPr>
        <w:t xml:space="preserve"> </w:t>
      </w:r>
      <w:r>
        <w:t>Random Effect Model for Total Fertility Rate</w:t>
      </w:r>
    </w:p>
    <w:p w14:paraId="52EBB6CF" w14:textId="77777777" w:rsidR="002A155C" w:rsidRDefault="002A155C" w:rsidP="00DD0B52"/>
    <w:p w14:paraId="37D10EF2" w14:textId="77777777" w:rsidR="002A155C" w:rsidRDefault="002A155C" w:rsidP="00DD0B52"/>
    <w:p w14:paraId="6A373B65" w14:textId="77777777" w:rsidR="002A155C" w:rsidRDefault="002A155C" w:rsidP="00DD0B52"/>
    <w:p w14:paraId="63EE7798" w14:textId="77777777" w:rsidR="002A155C" w:rsidRDefault="002A155C" w:rsidP="00DD0B52"/>
    <w:p w14:paraId="4E6EDD42" w14:textId="77777777" w:rsidR="002A155C" w:rsidRDefault="002A155C" w:rsidP="00DD0B52"/>
    <w:p w14:paraId="0E2AFB0E" w14:textId="77777777" w:rsidR="002A155C" w:rsidRDefault="002A155C" w:rsidP="00DD0B52"/>
    <w:p w14:paraId="21EE05E7" w14:textId="77777777" w:rsidR="002A155C" w:rsidRDefault="002A155C" w:rsidP="00DD0B52"/>
    <w:p w14:paraId="43654323" w14:textId="77777777" w:rsidR="002A155C" w:rsidRDefault="002A155C" w:rsidP="00DD0B52"/>
    <w:p w14:paraId="1ECD75DA" w14:textId="77777777" w:rsidR="002A155C" w:rsidRDefault="002A155C" w:rsidP="00DD0B52"/>
    <w:p w14:paraId="4B2EE165" w14:textId="77777777" w:rsidR="002A155C" w:rsidRDefault="002A155C" w:rsidP="00DD0B52"/>
    <w:p w14:paraId="6089B82E" w14:textId="77777777" w:rsidR="001E33AA" w:rsidRDefault="001E33AA" w:rsidP="00DD0B52"/>
    <w:p w14:paraId="1E6BAA69" w14:textId="77777777" w:rsidR="004B4B13" w:rsidRDefault="004B4B13" w:rsidP="00DD0B52"/>
    <w:p w14:paraId="23752EA0" w14:textId="77777777" w:rsidR="002A155C" w:rsidRDefault="002A155C" w:rsidP="00DD0B52"/>
    <w:tbl>
      <w:tblPr>
        <w:tblpPr w:leftFromText="180" w:rightFromText="180" w:vertAnchor="text" w:horzAnchor="page" w:tblpX="4611" w:tblpY="95"/>
        <w:tblW w:w="6474" w:type="dxa"/>
        <w:tblCellSpacing w:w="15" w:type="dxa"/>
        <w:tblCellMar>
          <w:top w:w="15" w:type="dxa"/>
          <w:left w:w="15" w:type="dxa"/>
          <w:bottom w:w="15" w:type="dxa"/>
          <w:right w:w="15" w:type="dxa"/>
        </w:tblCellMar>
        <w:tblLook w:val="04A0" w:firstRow="1" w:lastRow="0" w:firstColumn="1" w:lastColumn="0" w:noHBand="0" w:noVBand="1"/>
      </w:tblPr>
      <w:tblGrid>
        <w:gridCol w:w="1772"/>
        <w:gridCol w:w="976"/>
        <w:gridCol w:w="732"/>
        <w:gridCol w:w="848"/>
        <w:gridCol w:w="1072"/>
        <w:gridCol w:w="1074"/>
      </w:tblGrid>
      <w:tr w:rsidR="00710383" w:rsidRPr="002A155C" w14:paraId="6730B56A" w14:textId="77777777" w:rsidTr="00710383">
        <w:trPr>
          <w:trHeight w:val="336"/>
          <w:tblHeader/>
          <w:tblCellSpacing w:w="15" w:type="dxa"/>
        </w:trPr>
        <w:tc>
          <w:tcPr>
            <w:tcW w:w="0" w:type="auto"/>
            <w:tcBorders>
              <w:top w:val="single" w:sz="4" w:space="0" w:color="auto"/>
            </w:tcBorders>
            <w:vAlign w:val="center"/>
            <w:hideMark/>
          </w:tcPr>
          <w:p w14:paraId="618A779B" w14:textId="77777777" w:rsidR="002A155C" w:rsidRPr="002A155C" w:rsidRDefault="002A155C" w:rsidP="00DD0B52">
            <w:pPr>
              <w:rPr>
                <w:b/>
                <w:bCs/>
              </w:rPr>
            </w:pPr>
            <w:r w:rsidRPr="002A155C">
              <w:rPr>
                <w:b/>
                <w:bCs/>
              </w:rPr>
              <w:t>Parameter</w:t>
            </w:r>
          </w:p>
        </w:tc>
        <w:tc>
          <w:tcPr>
            <w:tcW w:w="0" w:type="auto"/>
            <w:tcBorders>
              <w:top w:val="single" w:sz="4" w:space="0" w:color="auto"/>
            </w:tcBorders>
            <w:vAlign w:val="center"/>
            <w:hideMark/>
          </w:tcPr>
          <w:p w14:paraId="181B5A17" w14:textId="77777777" w:rsidR="002A155C" w:rsidRPr="002A155C" w:rsidRDefault="002A155C" w:rsidP="00DD0B52">
            <w:pPr>
              <w:rPr>
                <w:b/>
                <w:bCs/>
              </w:rPr>
            </w:pPr>
            <w:r w:rsidRPr="002A155C">
              <w:rPr>
                <w:b/>
                <w:bCs/>
              </w:rPr>
              <w:t>Std. Err.</w:t>
            </w:r>
          </w:p>
        </w:tc>
        <w:tc>
          <w:tcPr>
            <w:tcW w:w="0" w:type="auto"/>
            <w:tcBorders>
              <w:top w:val="single" w:sz="4" w:space="0" w:color="auto"/>
            </w:tcBorders>
            <w:vAlign w:val="center"/>
            <w:hideMark/>
          </w:tcPr>
          <w:p w14:paraId="6C5BE398" w14:textId="77777777" w:rsidR="002A155C" w:rsidRPr="002A155C" w:rsidRDefault="002A155C" w:rsidP="00DD0B52">
            <w:pPr>
              <w:rPr>
                <w:b/>
                <w:bCs/>
              </w:rPr>
            </w:pPr>
            <w:r w:rsidRPr="002A155C">
              <w:rPr>
                <w:b/>
                <w:bCs/>
              </w:rPr>
              <w:t>T-stat</w:t>
            </w:r>
          </w:p>
        </w:tc>
        <w:tc>
          <w:tcPr>
            <w:tcW w:w="0" w:type="auto"/>
            <w:tcBorders>
              <w:top w:val="single" w:sz="4" w:space="0" w:color="auto"/>
            </w:tcBorders>
            <w:vAlign w:val="center"/>
            <w:hideMark/>
          </w:tcPr>
          <w:p w14:paraId="1C3723C0" w14:textId="77777777" w:rsidR="002A155C" w:rsidRPr="002A155C" w:rsidRDefault="002A155C" w:rsidP="00DD0B52">
            <w:pPr>
              <w:rPr>
                <w:b/>
                <w:bCs/>
              </w:rPr>
            </w:pPr>
            <w:r w:rsidRPr="002A155C">
              <w:rPr>
                <w:b/>
                <w:bCs/>
              </w:rPr>
              <w:t>P-value</w:t>
            </w:r>
          </w:p>
        </w:tc>
        <w:tc>
          <w:tcPr>
            <w:tcW w:w="0" w:type="auto"/>
            <w:tcBorders>
              <w:top w:val="single" w:sz="4" w:space="0" w:color="auto"/>
            </w:tcBorders>
            <w:vAlign w:val="center"/>
            <w:hideMark/>
          </w:tcPr>
          <w:p w14:paraId="0A633506" w14:textId="77777777" w:rsidR="002A155C" w:rsidRPr="002A155C" w:rsidRDefault="002A155C" w:rsidP="00DD0B52">
            <w:pPr>
              <w:rPr>
                <w:b/>
                <w:bCs/>
              </w:rPr>
            </w:pPr>
            <w:r w:rsidRPr="002A155C">
              <w:rPr>
                <w:b/>
                <w:bCs/>
              </w:rPr>
              <w:t>Lower CI</w:t>
            </w:r>
          </w:p>
        </w:tc>
        <w:tc>
          <w:tcPr>
            <w:tcW w:w="0" w:type="auto"/>
            <w:tcBorders>
              <w:top w:val="single" w:sz="4" w:space="0" w:color="auto"/>
            </w:tcBorders>
            <w:vAlign w:val="center"/>
            <w:hideMark/>
          </w:tcPr>
          <w:p w14:paraId="1AF5EA78" w14:textId="77777777" w:rsidR="002A155C" w:rsidRPr="002A155C" w:rsidRDefault="002A155C" w:rsidP="00DD0B52">
            <w:pPr>
              <w:rPr>
                <w:b/>
                <w:bCs/>
              </w:rPr>
            </w:pPr>
            <w:r w:rsidRPr="002A155C">
              <w:rPr>
                <w:b/>
                <w:bCs/>
              </w:rPr>
              <w:t>Upper CI</w:t>
            </w:r>
          </w:p>
        </w:tc>
      </w:tr>
      <w:tr w:rsidR="00710383" w:rsidRPr="002A155C" w14:paraId="3266D950" w14:textId="77777777" w:rsidTr="00710383">
        <w:trPr>
          <w:trHeight w:val="320"/>
          <w:tblCellSpacing w:w="15" w:type="dxa"/>
        </w:trPr>
        <w:tc>
          <w:tcPr>
            <w:tcW w:w="0" w:type="auto"/>
            <w:tcBorders>
              <w:top w:val="single" w:sz="4" w:space="0" w:color="auto"/>
            </w:tcBorders>
            <w:vAlign w:val="center"/>
            <w:hideMark/>
          </w:tcPr>
          <w:p w14:paraId="52AC89B6" w14:textId="77777777" w:rsidR="002A155C" w:rsidRPr="002A155C" w:rsidRDefault="002A155C" w:rsidP="00DD0B52">
            <w:r w:rsidRPr="002A155C">
              <w:rPr>
                <w:b/>
                <w:bCs/>
              </w:rPr>
              <w:t>const</w:t>
            </w:r>
          </w:p>
        </w:tc>
        <w:tc>
          <w:tcPr>
            <w:tcW w:w="0" w:type="auto"/>
            <w:tcBorders>
              <w:top w:val="single" w:sz="4" w:space="0" w:color="auto"/>
            </w:tcBorders>
            <w:vAlign w:val="center"/>
            <w:hideMark/>
          </w:tcPr>
          <w:p w14:paraId="402BDBAA" w14:textId="77777777" w:rsidR="002A155C" w:rsidRPr="002A155C" w:rsidRDefault="002A155C" w:rsidP="00DD0B52">
            <w:r w:rsidRPr="002A155C">
              <w:t>10.498</w:t>
            </w:r>
          </w:p>
        </w:tc>
        <w:tc>
          <w:tcPr>
            <w:tcW w:w="0" w:type="auto"/>
            <w:tcBorders>
              <w:top w:val="single" w:sz="4" w:space="0" w:color="auto"/>
            </w:tcBorders>
            <w:vAlign w:val="center"/>
            <w:hideMark/>
          </w:tcPr>
          <w:p w14:paraId="6D96ECB6" w14:textId="77777777" w:rsidR="002A155C" w:rsidRPr="002A155C" w:rsidRDefault="002A155C" w:rsidP="00DD0B52">
            <w:r w:rsidRPr="002A155C">
              <w:t>0.2790</w:t>
            </w:r>
          </w:p>
        </w:tc>
        <w:tc>
          <w:tcPr>
            <w:tcW w:w="0" w:type="auto"/>
            <w:tcBorders>
              <w:top w:val="single" w:sz="4" w:space="0" w:color="auto"/>
            </w:tcBorders>
            <w:vAlign w:val="center"/>
            <w:hideMark/>
          </w:tcPr>
          <w:p w14:paraId="5203E7CB" w14:textId="77777777" w:rsidR="002A155C" w:rsidRPr="002A155C" w:rsidRDefault="002A155C" w:rsidP="00DD0B52">
            <w:r w:rsidRPr="002A155C">
              <w:t>37.628</w:t>
            </w:r>
          </w:p>
        </w:tc>
        <w:tc>
          <w:tcPr>
            <w:tcW w:w="0" w:type="auto"/>
            <w:tcBorders>
              <w:top w:val="single" w:sz="4" w:space="0" w:color="auto"/>
            </w:tcBorders>
            <w:vAlign w:val="center"/>
            <w:hideMark/>
          </w:tcPr>
          <w:p w14:paraId="7AE04350" w14:textId="77777777" w:rsidR="002A155C" w:rsidRPr="002A155C" w:rsidRDefault="002A155C" w:rsidP="00DD0B52">
            <w:r w:rsidRPr="002A155C">
              <w:t>0.0000</w:t>
            </w:r>
          </w:p>
        </w:tc>
        <w:tc>
          <w:tcPr>
            <w:tcW w:w="0" w:type="auto"/>
            <w:tcBorders>
              <w:top w:val="single" w:sz="4" w:space="0" w:color="auto"/>
            </w:tcBorders>
            <w:vAlign w:val="center"/>
            <w:hideMark/>
          </w:tcPr>
          <w:p w14:paraId="08835BD6" w14:textId="77777777" w:rsidR="002A155C" w:rsidRPr="002A155C" w:rsidRDefault="002A155C" w:rsidP="00DD0B52">
            <w:r w:rsidRPr="002A155C">
              <w:t>9.9502</w:t>
            </w:r>
          </w:p>
        </w:tc>
      </w:tr>
      <w:tr w:rsidR="00710383" w:rsidRPr="002A155C" w14:paraId="3C06CCC5" w14:textId="77777777" w:rsidTr="00710383">
        <w:trPr>
          <w:trHeight w:val="336"/>
          <w:tblCellSpacing w:w="15" w:type="dxa"/>
        </w:trPr>
        <w:tc>
          <w:tcPr>
            <w:tcW w:w="0" w:type="auto"/>
            <w:vAlign w:val="center"/>
            <w:hideMark/>
          </w:tcPr>
          <w:p w14:paraId="2EABB139" w14:textId="77777777" w:rsidR="002A155C" w:rsidRPr="002A155C" w:rsidRDefault="002A155C" w:rsidP="00DD0B52">
            <w:r w:rsidRPr="002A155C">
              <w:rPr>
                <w:b/>
                <w:bCs/>
              </w:rPr>
              <w:t>Life_expectancy</w:t>
            </w:r>
          </w:p>
        </w:tc>
        <w:tc>
          <w:tcPr>
            <w:tcW w:w="0" w:type="auto"/>
            <w:vAlign w:val="center"/>
            <w:hideMark/>
          </w:tcPr>
          <w:p w14:paraId="0BBAA569" w14:textId="77777777" w:rsidR="002A155C" w:rsidRPr="002A155C" w:rsidRDefault="002A155C" w:rsidP="00DD0B52">
            <w:r w:rsidRPr="002A155C">
              <w:t>-0.1099</w:t>
            </w:r>
          </w:p>
        </w:tc>
        <w:tc>
          <w:tcPr>
            <w:tcW w:w="0" w:type="auto"/>
            <w:vAlign w:val="center"/>
            <w:hideMark/>
          </w:tcPr>
          <w:p w14:paraId="12686E7C" w14:textId="77777777" w:rsidR="002A155C" w:rsidRPr="002A155C" w:rsidRDefault="002A155C" w:rsidP="00DD0B52">
            <w:r w:rsidRPr="002A155C">
              <w:t>0.0038</w:t>
            </w:r>
          </w:p>
        </w:tc>
        <w:tc>
          <w:tcPr>
            <w:tcW w:w="0" w:type="auto"/>
            <w:vAlign w:val="center"/>
            <w:hideMark/>
          </w:tcPr>
          <w:p w14:paraId="4B634D82" w14:textId="77777777" w:rsidR="002A155C" w:rsidRPr="002A155C" w:rsidRDefault="002A155C" w:rsidP="00DD0B52">
            <w:r w:rsidRPr="002A155C">
              <w:t>-28.769</w:t>
            </w:r>
          </w:p>
        </w:tc>
        <w:tc>
          <w:tcPr>
            <w:tcW w:w="0" w:type="auto"/>
            <w:vAlign w:val="center"/>
            <w:hideMark/>
          </w:tcPr>
          <w:p w14:paraId="3BA1527D" w14:textId="77777777" w:rsidR="002A155C" w:rsidRPr="002A155C" w:rsidRDefault="002A155C" w:rsidP="00DD0B52">
            <w:r w:rsidRPr="002A155C">
              <w:t>0.0000</w:t>
            </w:r>
          </w:p>
        </w:tc>
        <w:tc>
          <w:tcPr>
            <w:tcW w:w="0" w:type="auto"/>
            <w:vAlign w:val="center"/>
            <w:hideMark/>
          </w:tcPr>
          <w:p w14:paraId="36E64C38" w14:textId="77777777" w:rsidR="002A155C" w:rsidRPr="002A155C" w:rsidRDefault="002A155C" w:rsidP="00DD0B52">
            <w:r w:rsidRPr="002A155C">
              <w:t>-0.1174</w:t>
            </w:r>
          </w:p>
        </w:tc>
      </w:tr>
      <w:tr w:rsidR="00710383" w:rsidRPr="002A155C" w14:paraId="13A059C4" w14:textId="77777777" w:rsidTr="00710383">
        <w:trPr>
          <w:trHeight w:val="306"/>
          <w:tblCellSpacing w:w="15" w:type="dxa"/>
        </w:trPr>
        <w:tc>
          <w:tcPr>
            <w:tcW w:w="0" w:type="auto"/>
            <w:vAlign w:val="center"/>
            <w:hideMark/>
          </w:tcPr>
          <w:p w14:paraId="6BEA85E5" w14:textId="77777777" w:rsidR="002A155C" w:rsidRPr="002A155C" w:rsidRDefault="002A155C" w:rsidP="00DD0B52">
            <w:r w:rsidRPr="002A155C">
              <w:rPr>
                <w:b/>
                <w:bCs/>
              </w:rPr>
              <w:t>Population</w:t>
            </w:r>
          </w:p>
        </w:tc>
        <w:tc>
          <w:tcPr>
            <w:tcW w:w="0" w:type="auto"/>
            <w:vAlign w:val="center"/>
            <w:hideMark/>
          </w:tcPr>
          <w:p w14:paraId="1F1F845A" w14:textId="77777777" w:rsidR="002A155C" w:rsidRPr="002A155C" w:rsidRDefault="002A155C" w:rsidP="00DD0B52">
            <w:r w:rsidRPr="002A155C">
              <w:t>0.0531</w:t>
            </w:r>
          </w:p>
        </w:tc>
        <w:tc>
          <w:tcPr>
            <w:tcW w:w="0" w:type="auto"/>
            <w:vAlign w:val="center"/>
            <w:hideMark/>
          </w:tcPr>
          <w:p w14:paraId="17252260" w14:textId="77777777" w:rsidR="002A155C" w:rsidRPr="002A155C" w:rsidRDefault="002A155C" w:rsidP="00DD0B52">
            <w:r w:rsidRPr="002A155C">
              <w:t>0.0070</w:t>
            </w:r>
          </w:p>
        </w:tc>
        <w:tc>
          <w:tcPr>
            <w:tcW w:w="0" w:type="auto"/>
            <w:vAlign w:val="center"/>
            <w:hideMark/>
          </w:tcPr>
          <w:p w14:paraId="06A480C4" w14:textId="77777777" w:rsidR="002A155C" w:rsidRPr="002A155C" w:rsidRDefault="002A155C" w:rsidP="00DD0B52">
            <w:r w:rsidRPr="002A155C">
              <w:t>7.6058</w:t>
            </w:r>
          </w:p>
        </w:tc>
        <w:tc>
          <w:tcPr>
            <w:tcW w:w="0" w:type="auto"/>
            <w:vAlign w:val="center"/>
            <w:hideMark/>
          </w:tcPr>
          <w:p w14:paraId="6FEC820B" w14:textId="77777777" w:rsidR="002A155C" w:rsidRPr="002A155C" w:rsidRDefault="002A155C" w:rsidP="00DD0B52">
            <w:r w:rsidRPr="002A155C">
              <w:t>0.0000</w:t>
            </w:r>
          </w:p>
        </w:tc>
        <w:tc>
          <w:tcPr>
            <w:tcW w:w="0" w:type="auto"/>
            <w:vAlign w:val="center"/>
            <w:hideMark/>
          </w:tcPr>
          <w:p w14:paraId="5F45CB97" w14:textId="77777777" w:rsidR="002A155C" w:rsidRPr="002A155C" w:rsidRDefault="002A155C" w:rsidP="00DD0B52">
            <w:r w:rsidRPr="002A155C">
              <w:t>0.0394</w:t>
            </w:r>
          </w:p>
        </w:tc>
      </w:tr>
    </w:tbl>
    <w:p w14:paraId="09A07BFD" w14:textId="77777777" w:rsidR="002A155C" w:rsidRPr="002A155C" w:rsidRDefault="002A155C" w:rsidP="00DD0B52">
      <w:pPr>
        <w:ind w:left="720"/>
      </w:pPr>
      <w:r w:rsidRPr="002A155C">
        <w:rPr>
          <w:b/>
          <w:bCs/>
        </w:rPr>
        <w:t>Table 11</w:t>
      </w:r>
      <w:r>
        <w:rPr>
          <w:b/>
          <w:bCs/>
        </w:rPr>
        <w:t xml:space="preserve"> </w:t>
      </w:r>
      <w:r>
        <w:t xml:space="preserve">Parameter Estimation </w:t>
      </w:r>
      <w:r w:rsidR="00362AAF">
        <w:t>for Life Expectancy and Population</w:t>
      </w:r>
    </w:p>
    <w:p w14:paraId="6CC14CD5" w14:textId="77777777" w:rsidR="002A155C" w:rsidRDefault="002A155C" w:rsidP="00DD0B52"/>
    <w:p w14:paraId="4EAD82DC" w14:textId="77777777" w:rsidR="002A155C" w:rsidRDefault="002A155C" w:rsidP="00DD0B52"/>
    <w:p w14:paraId="718218F2" w14:textId="77777777" w:rsidR="002A155C" w:rsidRDefault="002A155C" w:rsidP="00DD0B52"/>
    <w:p w14:paraId="2703F2C1" w14:textId="77777777" w:rsidR="002A155C" w:rsidRDefault="002A155C" w:rsidP="00DD0B52"/>
    <w:p w14:paraId="5D848CE2" w14:textId="77777777" w:rsidR="001E33AA" w:rsidRDefault="001E33AA" w:rsidP="001E33AA"/>
    <w:p w14:paraId="411DB1D6" w14:textId="77777777" w:rsidR="001E33AA" w:rsidRDefault="001E33AA" w:rsidP="001E33AA"/>
    <w:tbl>
      <w:tblPr>
        <w:tblpPr w:leftFromText="180" w:rightFromText="180" w:vertAnchor="page" w:horzAnchor="margin" w:tblpXSpec="right" w:tblpY="8389"/>
        <w:tblW w:w="5839" w:type="dxa"/>
        <w:tblCellSpacing w:w="15" w:type="dxa"/>
        <w:tblCellMar>
          <w:top w:w="15" w:type="dxa"/>
          <w:left w:w="15" w:type="dxa"/>
          <w:bottom w:w="15" w:type="dxa"/>
          <w:right w:w="15" w:type="dxa"/>
        </w:tblCellMar>
        <w:tblLook w:val="04A0" w:firstRow="1" w:lastRow="0" w:firstColumn="1" w:lastColumn="0" w:noHBand="0" w:noVBand="1"/>
      </w:tblPr>
      <w:tblGrid>
        <w:gridCol w:w="2292"/>
        <w:gridCol w:w="1766"/>
        <w:gridCol w:w="1781"/>
      </w:tblGrid>
      <w:tr w:rsidR="004B4B13" w14:paraId="134FB9AF" w14:textId="77777777" w:rsidTr="004B4B13">
        <w:trPr>
          <w:tblHeader/>
          <w:tblCellSpacing w:w="15" w:type="dxa"/>
        </w:trPr>
        <w:tc>
          <w:tcPr>
            <w:tcW w:w="0" w:type="auto"/>
            <w:tcBorders>
              <w:top w:val="single" w:sz="4" w:space="0" w:color="auto"/>
            </w:tcBorders>
            <w:vAlign w:val="center"/>
            <w:hideMark/>
          </w:tcPr>
          <w:p w14:paraId="2B3C42A0" w14:textId="77777777" w:rsidR="004B4B13" w:rsidRDefault="004B4B13" w:rsidP="004B4B13">
            <w:pPr>
              <w:jc w:val="center"/>
              <w:rPr>
                <w:b/>
                <w:bCs/>
              </w:rPr>
            </w:pPr>
            <w:r>
              <w:rPr>
                <w:rStyle w:val="Strong"/>
              </w:rPr>
              <w:t>Model Comparison</w:t>
            </w:r>
          </w:p>
        </w:tc>
        <w:tc>
          <w:tcPr>
            <w:tcW w:w="0" w:type="auto"/>
            <w:tcBorders>
              <w:top w:val="single" w:sz="4" w:space="0" w:color="auto"/>
            </w:tcBorders>
            <w:vAlign w:val="center"/>
            <w:hideMark/>
          </w:tcPr>
          <w:p w14:paraId="41D4AC79" w14:textId="77777777" w:rsidR="004B4B13" w:rsidRDefault="004B4B13" w:rsidP="004B4B13">
            <w:pPr>
              <w:jc w:val="center"/>
              <w:rPr>
                <w:b/>
                <w:bCs/>
              </w:rPr>
            </w:pPr>
            <w:r>
              <w:rPr>
                <w:rStyle w:val="Strong"/>
              </w:rPr>
              <w:t>Fixed Effects</w:t>
            </w:r>
          </w:p>
        </w:tc>
        <w:tc>
          <w:tcPr>
            <w:tcW w:w="0" w:type="auto"/>
            <w:tcBorders>
              <w:top w:val="single" w:sz="4" w:space="0" w:color="auto"/>
            </w:tcBorders>
            <w:vAlign w:val="center"/>
            <w:hideMark/>
          </w:tcPr>
          <w:p w14:paraId="16E96837" w14:textId="77777777" w:rsidR="004B4B13" w:rsidRDefault="004B4B13" w:rsidP="004B4B13">
            <w:pPr>
              <w:jc w:val="center"/>
              <w:rPr>
                <w:b/>
                <w:bCs/>
              </w:rPr>
            </w:pPr>
            <w:r>
              <w:rPr>
                <w:rStyle w:val="Strong"/>
              </w:rPr>
              <w:t>Random Effects</w:t>
            </w:r>
          </w:p>
        </w:tc>
      </w:tr>
      <w:tr w:rsidR="004B4B13" w14:paraId="6D0B5052" w14:textId="77777777" w:rsidTr="004B4B13">
        <w:trPr>
          <w:tblCellSpacing w:w="15" w:type="dxa"/>
        </w:trPr>
        <w:tc>
          <w:tcPr>
            <w:tcW w:w="0" w:type="auto"/>
            <w:tcBorders>
              <w:top w:val="single" w:sz="4" w:space="0" w:color="auto"/>
              <w:right w:val="single" w:sz="4" w:space="0" w:color="auto"/>
            </w:tcBorders>
            <w:vAlign w:val="center"/>
            <w:hideMark/>
          </w:tcPr>
          <w:p w14:paraId="74932EC9" w14:textId="77777777" w:rsidR="004B4B13" w:rsidRDefault="004B4B13" w:rsidP="004B4B13">
            <w:r>
              <w:rPr>
                <w:rStyle w:val="Strong"/>
              </w:rPr>
              <w:t>Dep. Variable</w:t>
            </w:r>
          </w:p>
        </w:tc>
        <w:tc>
          <w:tcPr>
            <w:tcW w:w="0" w:type="auto"/>
            <w:tcBorders>
              <w:top w:val="single" w:sz="4" w:space="0" w:color="auto"/>
            </w:tcBorders>
            <w:vAlign w:val="center"/>
            <w:hideMark/>
          </w:tcPr>
          <w:p w14:paraId="4D76C869" w14:textId="77777777" w:rsidR="004B4B13" w:rsidRDefault="004B4B13" w:rsidP="004B4B13">
            <w:r>
              <w:t>Total fertility rate</w:t>
            </w:r>
          </w:p>
        </w:tc>
        <w:tc>
          <w:tcPr>
            <w:tcW w:w="0" w:type="auto"/>
            <w:tcBorders>
              <w:top w:val="single" w:sz="4" w:space="0" w:color="auto"/>
            </w:tcBorders>
            <w:vAlign w:val="center"/>
            <w:hideMark/>
          </w:tcPr>
          <w:p w14:paraId="60F3337E" w14:textId="77777777" w:rsidR="004B4B13" w:rsidRDefault="004B4B13" w:rsidP="004B4B13">
            <w:r>
              <w:t>Total fertility rate</w:t>
            </w:r>
          </w:p>
        </w:tc>
      </w:tr>
      <w:tr w:rsidR="004B4B13" w14:paraId="33B33A4B" w14:textId="77777777" w:rsidTr="004B4B13">
        <w:trPr>
          <w:tblCellSpacing w:w="15" w:type="dxa"/>
        </w:trPr>
        <w:tc>
          <w:tcPr>
            <w:tcW w:w="0" w:type="auto"/>
            <w:tcBorders>
              <w:right w:val="single" w:sz="4" w:space="0" w:color="auto"/>
            </w:tcBorders>
            <w:vAlign w:val="center"/>
            <w:hideMark/>
          </w:tcPr>
          <w:p w14:paraId="66155B0A" w14:textId="77777777" w:rsidR="004B4B13" w:rsidRDefault="004B4B13" w:rsidP="004B4B13">
            <w:r>
              <w:rPr>
                <w:rStyle w:val="Strong"/>
              </w:rPr>
              <w:t>Estimator</w:t>
            </w:r>
          </w:p>
        </w:tc>
        <w:tc>
          <w:tcPr>
            <w:tcW w:w="0" w:type="auto"/>
            <w:vAlign w:val="center"/>
            <w:hideMark/>
          </w:tcPr>
          <w:p w14:paraId="5C527535" w14:textId="77777777" w:rsidR="004B4B13" w:rsidRDefault="004B4B13" w:rsidP="004B4B13">
            <w:r>
              <w:t>PanelOLS</w:t>
            </w:r>
          </w:p>
        </w:tc>
        <w:tc>
          <w:tcPr>
            <w:tcW w:w="0" w:type="auto"/>
            <w:vAlign w:val="center"/>
            <w:hideMark/>
          </w:tcPr>
          <w:p w14:paraId="626765A4" w14:textId="77777777" w:rsidR="004B4B13" w:rsidRDefault="004B4B13" w:rsidP="004B4B13">
            <w:r>
              <w:t>RandomEffects</w:t>
            </w:r>
          </w:p>
        </w:tc>
      </w:tr>
      <w:tr w:rsidR="004B4B13" w14:paraId="13690632" w14:textId="77777777" w:rsidTr="004B4B13">
        <w:trPr>
          <w:tblCellSpacing w:w="15" w:type="dxa"/>
        </w:trPr>
        <w:tc>
          <w:tcPr>
            <w:tcW w:w="0" w:type="auto"/>
            <w:tcBorders>
              <w:right w:val="single" w:sz="4" w:space="0" w:color="auto"/>
            </w:tcBorders>
            <w:vAlign w:val="center"/>
            <w:hideMark/>
          </w:tcPr>
          <w:p w14:paraId="7DD0106E" w14:textId="77777777" w:rsidR="004B4B13" w:rsidRDefault="004B4B13" w:rsidP="004B4B13">
            <w:r>
              <w:rPr>
                <w:rStyle w:val="Strong"/>
              </w:rPr>
              <w:t>No. Observations</w:t>
            </w:r>
          </w:p>
        </w:tc>
        <w:tc>
          <w:tcPr>
            <w:tcW w:w="0" w:type="auto"/>
            <w:vAlign w:val="center"/>
            <w:hideMark/>
          </w:tcPr>
          <w:p w14:paraId="32134D37" w14:textId="77777777" w:rsidR="004B4B13" w:rsidRDefault="004B4B13" w:rsidP="004B4B13">
            <w:r>
              <w:t>1004</w:t>
            </w:r>
          </w:p>
        </w:tc>
        <w:tc>
          <w:tcPr>
            <w:tcW w:w="0" w:type="auto"/>
            <w:vAlign w:val="center"/>
            <w:hideMark/>
          </w:tcPr>
          <w:p w14:paraId="2985F732" w14:textId="77777777" w:rsidR="004B4B13" w:rsidRDefault="004B4B13" w:rsidP="004B4B13">
            <w:r>
              <w:t>1004</w:t>
            </w:r>
          </w:p>
        </w:tc>
      </w:tr>
      <w:tr w:rsidR="004B4B13" w14:paraId="4AF25D6A" w14:textId="77777777" w:rsidTr="004B4B13">
        <w:trPr>
          <w:tblCellSpacing w:w="15" w:type="dxa"/>
        </w:trPr>
        <w:tc>
          <w:tcPr>
            <w:tcW w:w="0" w:type="auto"/>
            <w:tcBorders>
              <w:right w:val="single" w:sz="4" w:space="0" w:color="auto"/>
            </w:tcBorders>
            <w:vAlign w:val="center"/>
            <w:hideMark/>
          </w:tcPr>
          <w:p w14:paraId="3F1F5526" w14:textId="77777777" w:rsidR="004B4B13" w:rsidRDefault="004B4B13" w:rsidP="004B4B13">
            <w:r>
              <w:rPr>
                <w:rStyle w:val="Strong"/>
              </w:rPr>
              <w:t>Cov. Est.</w:t>
            </w:r>
          </w:p>
        </w:tc>
        <w:tc>
          <w:tcPr>
            <w:tcW w:w="0" w:type="auto"/>
            <w:vAlign w:val="center"/>
            <w:hideMark/>
          </w:tcPr>
          <w:p w14:paraId="30127A5B" w14:textId="77777777" w:rsidR="004B4B13" w:rsidRDefault="004B4B13" w:rsidP="004B4B13">
            <w:r>
              <w:t>Unadjusted</w:t>
            </w:r>
          </w:p>
        </w:tc>
        <w:tc>
          <w:tcPr>
            <w:tcW w:w="0" w:type="auto"/>
            <w:vAlign w:val="center"/>
            <w:hideMark/>
          </w:tcPr>
          <w:p w14:paraId="4FECCFF2" w14:textId="77777777" w:rsidR="004B4B13" w:rsidRDefault="004B4B13" w:rsidP="004B4B13">
            <w:r>
              <w:t>Unadjusted</w:t>
            </w:r>
          </w:p>
        </w:tc>
      </w:tr>
      <w:tr w:rsidR="004B4B13" w14:paraId="3F7410A0" w14:textId="77777777" w:rsidTr="004B4B13">
        <w:trPr>
          <w:tblCellSpacing w:w="15" w:type="dxa"/>
        </w:trPr>
        <w:tc>
          <w:tcPr>
            <w:tcW w:w="0" w:type="auto"/>
            <w:tcBorders>
              <w:right w:val="single" w:sz="4" w:space="0" w:color="auto"/>
            </w:tcBorders>
            <w:vAlign w:val="center"/>
            <w:hideMark/>
          </w:tcPr>
          <w:p w14:paraId="4EF697EE" w14:textId="77777777" w:rsidR="004B4B13" w:rsidRDefault="004B4B13" w:rsidP="004B4B13">
            <w:r>
              <w:rPr>
                <w:rStyle w:val="Strong"/>
              </w:rPr>
              <w:t>R-squared</w:t>
            </w:r>
          </w:p>
        </w:tc>
        <w:tc>
          <w:tcPr>
            <w:tcW w:w="0" w:type="auto"/>
            <w:vAlign w:val="center"/>
            <w:hideMark/>
          </w:tcPr>
          <w:p w14:paraId="652F58EE" w14:textId="77777777" w:rsidR="004B4B13" w:rsidRDefault="004B4B13" w:rsidP="004B4B13">
            <w:r>
              <w:t>0.2684</w:t>
            </w:r>
          </w:p>
        </w:tc>
        <w:tc>
          <w:tcPr>
            <w:tcW w:w="0" w:type="auto"/>
            <w:vAlign w:val="center"/>
            <w:hideMark/>
          </w:tcPr>
          <w:p w14:paraId="647389A3" w14:textId="77777777" w:rsidR="004B4B13" w:rsidRDefault="004B4B13" w:rsidP="004B4B13">
            <w:r>
              <w:t>0.4659</w:t>
            </w:r>
          </w:p>
        </w:tc>
      </w:tr>
      <w:tr w:rsidR="004B4B13" w14:paraId="0BFF19A4" w14:textId="77777777" w:rsidTr="004B4B13">
        <w:trPr>
          <w:tblCellSpacing w:w="15" w:type="dxa"/>
        </w:trPr>
        <w:tc>
          <w:tcPr>
            <w:tcW w:w="0" w:type="auto"/>
            <w:tcBorders>
              <w:right w:val="single" w:sz="4" w:space="0" w:color="auto"/>
            </w:tcBorders>
            <w:vAlign w:val="center"/>
            <w:hideMark/>
          </w:tcPr>
          <w:p w14:paraId="62AE9EDE" w14:textId="77777777" w:rsidR="004B4B13" w:rsidRDefault="004B4B13" w:rsidP="004B4B13">
            <w:r>
              <w:rPr>
                <w:rStyle w:val="Strong"/>
              </w:rPr>
              <w:t>R-Squared (Within)</w:t>
            </w:r>
          </w:p>
        </w:tc>
        <w:tc>
          <w:tcPr>
            <w:tcW w:w="0" w:type="auto"/>
            <w:vAlign w:val="center"/>
            <w:hideMark/>
          </w:tcPr>
          <w:p w14:paraId="60119532" w14:textId="77777777" w:rsidR="004B4B13" w:rsidRDefault="004B4B13" w:rsidP="004B4B13">
            <w:r>
              <w:t>0.2684</w:t>
            </w:r>
          </w:p>
        </w:tc>
        <w:tc>
          <w:tcPr>
            <w:tcW w:w="0" w:type="auto"/>
            <w:vAlign w:val="center"/>
            <w:hideMark/>
          </w:tcPr>
          <w:p w14:paraId="1D95843F" w14:textId="77777777" w:rsidR="004B4B13" w:rsidRDefault="004B4B13" w:rsidP="004B4B13">
            <w:r>
              <w:t>0.2393</w:t>
            </w:r>
          </w:p>
        </w:tc>
      </w:tr>
      <w:tr w:rsidR="004B4B13" w14:paraId="7132EAE5" w14:textId="77777777" w:rsidTr="004B4B13">
        <w:trPr>
          <w:tblCellSpacing w:w="15" w:type="dxa"/>
        </w:trPr>
        <w:tc>
          <w:tcPr>
            <w:tcW w:w="0" w:type="auto"/>
            <w:tcBorders>
              <w:right w:val="single" w:sz="4" w:space="0" w:color="auto"/>
            </w:tcBorders>
            <w:vAlign w:val="center"/>
            <w:hideMark/>
          </w:tcPr>
          <w:p w14:paraId="54875742" w14:textId="77777777" w:rsidR="004B4B13" w:rsidRDefault="004B4B13" w:rsidP="004B4B13">
            <w:r>
              <w:rPr>
                <w:rStyle w:val="Strong"/>
              </w:rPr>
              <w:t>R-Squared (Between)</w:t>
            </w:r>
          </w:p>
        </w:tc>
        <w:tc>
          <w:tcPr>
            <w:tcW w:w="0" w:type="auto"/>
            <w:vAlign w:val="center"/>
            <w:hideMark/>
          </w:tcPr>
          <w:p w14:paraId="672B5F08" w14:textId="77777777" w:rsidR="004B4B13" w:rsidRDefault="004B4B13" w:rsidP="004B4B13">
            <w:r>
              <w:t>0.6012</w:t>
            </w:r>
          </w:p>
        </w:tc>
        <w:tc>
          <w:tcPr>
            <w:tcW w:w="0" w:type="auto"/>
            <w:vAlign w:val="center"/>
            <w:hideMark/>
          </w:tcPr>
          <w:p w14:paraId="05E9B0DE" w14:textId="77777777" w:rsidR="004B4B13" w:rsidRDefault="004B4B13" w:rsidP="004B4B13">
            <w:r>
              <w:t>0.6795</w:t>
            </w:r>
          </w:p>
        </w:tc>
      </w:tr>
      <w:tr w:rsidR="004B4B13" w14:paraId="7DCE3B5D" w14:textId="77777777" w:rsidTr="004B4B13">
        <w:trPr>
          <w:tblCellSpacing w:w="15" w:type="dxa"/>
        </w:trPr>
        <w:tc>
          <w:tcPr>
            <w:tcW w:w="0" w:type="auto"/>
            <w:tcBorders>
              <w:right w:val="single" w:sz="4" w:space="0" w:color="auto"/>
            </w:tcBorders>
            <w:vAlign w:val="center"/>
            <w:hideMark/>
          </w:tcPr>
          <w:p w14:paraId="496A4083" w14:textId="77777777" w:rsidR="004B4B13" w:rsidRDefault="004B4B13" w:rsidP="004B4B13">
            <w:r>
              <w:rPr>
                <w:rStyle w:val="Strong"/>
              </w:rPr>
              <w:t>R-Squared (Overall)</w:t>
            </w:r>
          </w:p>
        </w:tc>
        <w:tc>
          <w:tcPr>
            <w:tcW w:w="0" w:type="auto"/>
            <w:vAlign w:val="center"/>
            <w:hideMark/>
          </w:tcPr>
          <w:p w14:paraId="0C39BC08" w14:textId="77777777" w:rsidR="004B4B13" w:rsidRDefault="004B4B13" w:rsidP="004B4B13">
            <w:r>
              <w:t>0.5941</w:t>
            </w:r>
          </w:p>
        </w:tc>
        <w:tc>
          <w:tcPr>
            <w:tcW w:w="0" w:type="auto"/>
            <w:vAlign w:val="center"/>
            <w:hideMark/>
          </w:tcPr>
          <w:p w14:paraId="1DEF3B9A" w14:textId="77777777" w:rsidR="004B4B13" w:rsidRDefault="004B4B13" w:rsidP="004B4B13">
            <w:r>
              <w:t>0.6714</w:t>
            </w:r>
          </w:p>
        </w:tc>
      </w:tr>
      <w:tr w:rsidR="004B4B13" w14:paraId="268E972C" w14:textId="77777777" w:rsidTr="004B4B13">
        <w:trPr>
          <w:tblCellSpacing w:w="15" w:type="dxa"/>
        </w:trPr>
        <w:tc>
          <w:tcPr>
            <w:tcW w:w="0" w:type="auto"/>
            <w:tcBorders>
              <w:right w:val="single" w:sz="4" w:space="0" w:color="auto"/>
            </w:tcBorders>
            <w:vAlign w:val="center"/>
            <w:hideMark/>
          </w:tcPr>
          <w:p w14:paraId="6BC8565E" w14:textId="77777777" w:rsidR="004B4B13" w:rsidRDefault="004B4B13" w:rsidP="004B4B13">
            <w:r>
              <w:rPr>
                <w:rStyle w:val="Strong"/>
              </w:rPr>
              <w:t>F-statistic</w:t>
            </w:r>
          </w:p>
        </w:tc>
        <w:tc>
          <w:tcPr>
            <w:tcW w:w="0" w:type="auto"/>
            <w:vAlign w:val="center"/>
            <w:hideMark/>
          </w:tcPr>
          <w:p w14:paraId="7FA65073" w14:textId="77777777" w:rsidR="004B4B13" w:rsidRDefault="004B4B13" w:rsidP="004B4B13">
            <w:r>
              <w:t>135.53</w:t>
            </w:r>
          </w:p>
        </w:tc>
        <w:tc>
          <w:tcPr>
            <w:tcW w:w="0" w:type="auto"/>
            <w:vAlign w:val="center"/>
            <w:hideMark/>
          </w:tcPr>
          <w:p w14:paraId="2A69592B" w14:textId="77777777" w:rsidR="004B4B13" w:rsidRDefault="004B4B13" w:rsidP="004B4B13">
            <w:r>
              <w:t>436.53</w:t>
            </w:r>
          </w:p>
        </w:tc>
      </w:tr>
      <w:tr w:rsidR="004B4B13" w14:paraId="212C7748" w14:textId="77777777" w:rsidTr="004B4B13">
        <w:trPr>
          <w:tblCellSpacing w:w="15" w:type="dxa"/>
        </w:trPr>
        <w:tc>
          <w:tcPr>
            <w:tcW w:w="0" w:type="auto"/>
            <w:tcBorders>
              <w:right w:val="single" w:sz="4" w:space="0" w:color="auto"/>
            </w:tcBorders>
            <w:vAlign w:val="center"/>
            <w:hideMark/>
          </w:tcPr>
          <w:p w14:paraId="474A3093" w14:textId="77777777" w:rsidR="004B4B13" w:rsidRDefault="004B4B13" w:rsidP="004B4B13">
            <w:r>
              <w:rPr>
                <w:rStyle w:val="Strong"/>
              </w:rPr>
              <w:t>P-value (F-stat)</w:t>
            </w:r>
          </w:p>
        </w:tc>
        <w:tc>
          <w:tcPr>
            <w:tcW w:w="0" w:type="auto"/>
            <w:vAlign w:val="center"/>
            <w:hideMark/>
          </w:tcPr>
          <w:p w14:paraId="04365D16" w14:textId="77777777" w:rsidR="004B4B13" w:rsidRDefault="004B4B13" w:rsidP="004B4B13">
            <w:r>
              <w:t>0.0000</w:t>
            </w:r>
          </w:p>
        </w:tc>
        <w:tc>
          <w:tcPr>
            <w:tcW w:w="0" w:type="auto"/>
            <w:vAlign w:val="center"/>
            <w:hideMark/>
          </w:tcPr>
          <w:p w14:paraId="349DB4C3" w14:textId="77777777" w:rsidR="004B4B13" w:rsidRDefault="004B4B13" w:rsidP="004B4B13">
            <w:r>
              <w:t>0.0000</w:t>
            </w:r>
          </w:p>
        </w:tc>
      </w:tr>
      <w:tr w:rsidR="004B4B13" w14:paraId="4B27EFB4" w14:textId="77777777" w:rsidTr="004B4B13">
        <w:trPr>
          <w:tblCellSpacing w:w="15" w:type="dxa"/>
        </w:trPr>
        <w:tc>
          <w:tcPr>
            <w:tcW w:w="0" w:type="auto"/>
            <w:tcBorders>
              <w:right w:val="single" w:sz="4" w:space="0" w:color="auto"/>
            </w:tcBorders>
            <w:vAlign w:val="center"/>
            <w:hideMark/>
          </w:tcPr>
          <w:p w14:paraId="41E8C1D9" w14:textId="77777777" w:rsidR="004B4B13" w:rsidRDefault="004B4B13" w:rsidP="004B4B13">
            <w:r>
              <w:rPr>
                <w:rStyle w:val="Strong"/>
              </w:rPr>
              <w:t>const</w:t>
            </w:r>
          </w:p>
        </w:tc>
        <w:tc>
          <w:tcPr>
            <w:tcW w:w="0" w:type="auto"/>
            <w:vAlign w:val="center"/>
            <w:hideMark/>
          </w:tcPr>
          <w:p w14:paraId="1961809E" w14:textId="77777777" w:rsidR="004B4B13" w:rsidRDefault="004B4B13" w:rsidP="004B4B13">
            <w:r>
              <w:t>8.6276 (22.677)</w:t>
            </w:r>
          </w:p>
        </w:tc>
        <w:tc>
          <w:tcPr>
            <w:tcW w:w="0" w:type="auto"/>
            <w:vAlign w:val="center"/>
            <w:hideMark/>
          </w:tcPr>
          <w:p w14:paraId="4C8FFE9F" w14:textId="77777777" w:rsidR="004B4B13" w:rsidRDefault="004B4B13" w:rsidP="004B4B13">
            <w:r>
              <w:t>10.498 (37.628)</w:t>
            </w:r>
          </w:p>
        </w:tc>
      </w:tr>
      <w:tr w:rsidR="004B4B13" w14:paraId="6689663C" w14:textId="77777777" w:rsidTr="004B4B13">
        <w:trPr>
          <w:tblCellSpacing w:w="15" w:type="dxa"/>
        </w:trPr>
        <w:tc>
          <w:tcPr>
            <w:tcW w:w="0" w:type="auto"/>
            <w:tcBorders>
              <w:right w:val="single" w:sz="4" w:space="0" w:color="auto"/>
            </w:tcBorders>
            <w:vAlign w:val="center"/>
            <w:hideMark/>
          </w:tcPr>
          <w:p w14:paraId="5623B357" w14:textId="77777777" w:rsidR="004B4B13" w:rsidRDefault="004B4B13" w:rsidP="004B4B13">
            <w:r>
              <w:rPr>
                <w:rStyle w:val="Strong"/>
              </w:rPr>
              <w:t>Life expectancy</w:t>
            </w:r>
          </w:p>
        </w:tc>
        <w:tc>
          <w:tcPr>
            <w:tcW w:w="0" w:type="auto"/>
            <w:vAlign w:val="center"/>
            <w:hideMark/>
          </w:tcPr>
          <w:p w14:paraId="32A40079" w14:textId="77777777" w:rsidR="004B4B13" w:rsidRDefault="004B4B13" w:rsidP="004B4B13">
            <w:r>
              <w:t>-0.0836 (-15.803)</w:t>
            </w:r>
          </w:p>
        </w:tc>
        <w:tc>
          <w:tcPr>
            <w:tcW w:w="0" w:type="auto"/>
            <w:vAlign w:val="center"/>
            <w:hideMark/>
          </w:tcPr>
          <w:p w14:paraId="58B30310" w14:textId="77777777" w:rsidR="004B4B13" w:rsidRDefault="004B4B13" w:rsidP="004B4B13">
            <w:r>
              <w:t>-0.1099 (-28.769)</w:t>
            </w:r>
          </w:p>
        </w:tc>
      </w:tr>
      <w:tr w:rsidR="004B4B13" w14:paraId="4B603ACA" w14:textId="77777777" w:rsidTr="004B4B13">
        <w:trPr>
          <w:tblCellSpacing w:w="15" w:type="dxa"/>
        </w:trPr>
        <w:tc>
          <w:tcPr>
            <w:tcW w:w="0" w:type="auto"/>
            <w:tcBorders>
              <w:right w:val="single" w:sz="4" w:space="0" w:color="auto"/>
            </w:tcBorders>
            <w:vAlign w:val="center"/>
            <w:hideMark/>
          </w:tcPr>
          <w:p w14:paraId="4023FB71" w14:textId="77777777" w:rsidR="004B4B13" w:rsidRDefault="004B4B13" w:rsidP="004B4B13">
            <w:r>
              <w:rPr>
                <w:rStyle w:val="Strong"/>
              </w:rPr>
              <w:t>Population</w:t>
            </w:r>
          </w:p>
        </w:tc>
        <w:tc>
          <w:tcPr>
            <w:tcW w:w="0" w:type="auto"/>
            <w:vAlign w:val="center"/>
            <w:hideMark/>
          </w:tcPr>
          <w:p w14:paraId="3F71EA41" w14:textId="77777777" w:rsidR="004B4B13" w:rsidRDefault="004B4B13" w:rsidP="004B4B13">
            <w:r>
              <w:t>0.0368 (5.5117)</w:t>
            </w:r>
          </w:p>
        </w:tc>
        <w:tc>
          <w:tcPr>
            <w:tcW w:w="0" w:type="auto"/>
            <w:vAlign w:val="center"/>
            <w:hideMark/>
          </w:tcPr>
          <w:p w14:paraId="10348F0A" w14:textId="77777777" w:rsidR="004B4B13" w:rsidRDefault="004B4B13" w:rsidP="004B4B13">
            <w:r>
              <w:t>0.0531 (7.6058)</w:t>
            </w:r>
          </w:p>
        </w:tc>
      </w:tr>
      <w:tr w:rsidR="004B4B13" w14:paraId="7010E166" w14:textId="77777777" w:rsidTr="004B4B13">
        <w:trPr>
          <w:tblCellSpacing w:w="15" w:type="dxa"/>
        </w:trPr>
        <w:tc>
          <w:tcPr>
            <w:tcW w:w="0" w:type="auto"/>
            <w:tcBorders>
              <w:right w:val="single" w:sz="4" w:space="0" w:color="auto"/>
            </w:tcBorders>
            <w:vAlign w:val="center"/>
            <w:hideMark/>
          </w:tcPr>
          <w:p w14:paraId="45BC2E26" w14:textId="77777777" w:rsidR="004B4B13" w:rsidRDefault="004B4B13" w:rsidP="004B4B13">
            <w:r>
              <w:rPr>
                <w:rStyle w:val="Strong"/>
              </w:rPr>
              <w:t>Effects</w:t>
            </w:r>
          </w:p>
        </w:tc>
        <w:tc>
          <w:tcPr>
            <w:tcW w:w="0" w:type="auto"/>
            <w:vAlign w:val="center"/>
            <w:hideMark/>
          </w:tcPr>
          <w:p w14:paraId="5F434EAE" w14:textId="77777777" w:rsidR="004B4B13" w:rsidRDefault="004B4B13" w:rsidP="004B4B13">
            <w:r>
              <w:t>Entity</w:t>
            </w:r>
          </w:p>
        </w:tc>
        <w:tc>
          <w:tcPr>
            <w:tcW w:w="0" w:type="auto"/>
            <w:vAlign w:val="center"/>
            <w:hideMark/>
          </w:tcPr>
          <w:p w14:paraId="342E521D" w14:textId="77777777" w:rsidR="004B4B13" w:rsidRDefault="004B4B13" w:rsidP="004B4B13"/>
        </w:tc>
      </w:tr>
    </w:tbl>
    <w:p w14:paraId="52A3EF1A" w14:textId="77777777" w:rsidR="001E33AA" w:rsidRPr="002A155C" w:rsidRDefault="001E33AA" w:rsidP="001E33AA">
      <w:pPr>
        <w:ind w:left="360"/>
      </w:pPr>
      <w:r w:rsidRPr="001E33AA">
        <w:rPr>
          <w:b/>
          <w:bCs/>
        </w:rPr>
        <w:t xml:space="preserve">Table 12 </w:t>
      </w:r>
      <w:r>
        <w:t xml:space="preserve">Comparison between Fixed and Random Effects </w:t>
      </w:r>
    </w:p>
    <w:p w14:paraId="7618ABC2" w14:textId="77777777" w:rsidR="001E33AA" w:rsidRDefault="001E33AA" w:rsidP="004B4B13"/>
    <w:p w14:paraId="2B822039" w14:textId="77777777" w:rsidR="001E33AA" w:rsidRDefault="001E33AA" w:rsidP="001E33AA">
      <w:pPr>
        <w:ind w:left="720"/>
      </w:pPr>
    </w:p>
    <w:p w14:paraId="3A1AF02B" w14:textId="77777777" w:rsidR="001E33AA" w:rsidRDefault="001E33AA" w:rsidP="001E33AA">
      <w:pPr>
        <w:ind w:left="720"/>
      </w:pPr>
    </w:p>
    <w:p w14:paraId="367C63B5" w14:textId="77777777" w:rsidR="001E33AA" w:rsidRDefault="001E33AA" w:rsidP="001E33AA">
      <w:pPr>
        <w:ind w:left="720"/>
      </w:pPr>
    </w:p>
    <w:p w14:paraId="5D09F889" w14:textId="77777777" w:rsidR="001E33AA" w:rsidRDefault="001E33AA" w:rsidP="001E33AA">
      <w:pPr>
        <w:ind w:left="720"/>
      </w:pPr>
    </w:p>
    <w:p w14:paraId="62907B2E" w14:textId="77777777" w:rsidR="001E33AA" w:rsidRDefault="001E33AA" w:rsidP="001E33AA">
      <w:pPr>
        <w:ind w:left="720"/>
      </w:pPr>
    </w:p>
    <w:p w14:paraId="5BD284A0" w14:textId="77777777" w:rsidR="001E33AA" w:rsidRDefault="001E33AA" w:rsidP="001E33AA">
      <w:pPr>
        <w:ind w:left="720"/>
      </w:pPr>
    </w:p>
    <w:p w14:paraId="3636E410" w14:textId="77777777" w:rsidR="001E33AA" w:rsidRDefault="001E33AA" w:rsidP="001E33AA">
      <w:pPr>
        <w:ind w:left="720"/>
      </w:pPr>
    </w:p>
    <w:p w14:paraId="72D80FE7" w14:textId="77777777" w:rsidR="001E33AA" w:rsidRDefault="001E33AA" w:rsidP="001E33AA">
      <w:pPr>
        <w:ind w:left="720"/>
      </w:pPr>
    </w:p>
    <w:p w14:paraId="65E705CE" w14:textId="77777777" w:rsidR="001E33AA" w:rsidRDefault="001E33AA" w:rsidP="001E33AA">
      <w:pPr>
        <w:ind w:left="720"/>
      </w:pPr>
    </w:p>
    <w:p w14:paraId="6AD69776" w14:textId="77777777" w:rsidR="001E33AA" w:rsidRDefault="001E33AA" w:rsidP="001E33AA">
      <w:pPr>
        <w:ind w:left="720"/>
      </w:pPr>
    </w:p>
    <w:p w14:paraId="457D6BB9" w14:textId="77777777" w:rsidR="001E33AA" w:rsidRDefault="001E33AA" w:rsidP="001E33AA">
      <w:pPr>
        <w:ind w:left="720"/>
      </w:pPr>
    </w:p>
    <w:p w14:paraId="779A7ABC" w14:textId="77777777" w:rsidR="001E33AA" w:rsidRDefault="001E33AA" w:rsidP="001E33AA">
      <w:pPr>
        <w:ind w:left="720"/>
      </w:pPr>
    </w:p>
    <w:p w14:paraId="7C637907" w14:textId="77777777" w:rsidR="001E33AA" w:rsidRDefault="001E33AA" w:rsidP="001E33AA">
      <w:pPr>
        <w:ind w:left="720"/>
      </w:pPr>
    </w:p>
    <w:p w14:paraId="0F26EFC4" w14:textId="77777777" w:rsidR="001E33AA" w:rsidRDefault="001E33AA" w:rsidP="001E33AA">
      <w:pPr>
        <w:ind w:left="720"/>
      </w:pPr>
    </w:p>
    <w:p w14:paraId="63C8ED2B" w14:textId="77777777" w:rsidR="001E33AA" w:rsidRDefault="001E33AA" w:rsidP="001E33AA">
      <w:pPr>
        <w:ind w:left="720"/>
      </w:pPr>
    </w:p>
    <w:p w14:paraId="2E3F88F4" w14:textId="77777777" w:rsidR="001E33AA" w:rsidRDefault="001E33AA" w:rsidP="001E33AA">
      <w:pPr>
        <w:ind w:left="720"/>
      </w:pPr>
    </w:p>
    <w:p w14:paraId="5675B58E" w14:textId="3C82295C" w:rsidR="00CF3F26" w:rsidRPr="007D5E4A" w:rsidRDefault="00CF3F26" w:rsidP="00DD0B52">
      <w:pPr>
        <w:numPr>
          <w:ilvl w:val="0"/>
          <w:numId w:val="6"/>
        </w:numPr>
      </w:pPr>
      <w:r w:rsidRPr="007D5E4A">
        <w:t>The population growth rate coefficient (0.0531) is again positive and slightly larger than in the Fixed Effects model, reinforcing the idea that higher population growth correlates with higher fertility rates.</w:t>
      </w:r>
    </w:p>
    <w:p w14:paraId="7CC2FC46" w14:textId="3EA4CD3D" w:rsidR="00CF3F26" w:rsidRPr="007D5E4A" w:rsidRDefault="00CF3F26" w:rsidP="00DD0B52">
      <w:pPr>
        <w:numPr>
          <w:ilvl w:val="0"/>
          <w:numId w:val="6"/>
        </w:numPr>
      </w:pPr>
      <w:r w:rsidRPr="007D5E4A">
        <w:lastRenderedPageBreak/>
        <w:t>With a higher R</w:t>
      </w:r>
      <w:r w:rsidRPr="00665A8A">
        <w:rPr>
          <w:vertAlign w:val="superscript"/>
        </w:rPr>
        <w:t>2</w:t>
      </w:r>
      <w:r w:rsidRPr="007D5E4A">
        <w:t xml:space="preserve"> (0.4659), the Random Effects model captures a bit more of the variance in fertility rates overall, which could suggest that both within-country and between-country differences are relevant to understanding fertility trends.</w:t>
      </w:r>
    </w:p>
    <w:p w14:paraId="5F54F4A7" w14:textId="77777777" w:rsidR="009E6667" w:rsidRDefault="00CF3F26" w:rsidP="00DD0B52">
      <w:pPr>
        <w:numPr>
          <w:ilvl w:val="0"/>
          <w:numId w:val="6"/>
        </w:numPr>
      </w:pPr>
      <w:r w:rsidRPr="007D5E4A">
        <w:t>The Hausman test results in a chi-squared statistic of 30.68 (p-value close to zero), suggesting that the Fixed Effects model is more appropriate. This indicates that unique characteristics within countries are essential in explaining fertility rates, potentially linked to cultural or policy differences.</w:t>
      </w:r>
    </w:p>
    <w:p w14:paraId="593A81CF" w14:textId="77777777" w:rsidR="009E6667" w:rsidRPr="007D5E4A" w:rsidRDefault="009E6667" w:rsidP="00DD0B52"/>
    <w:p w14:paraId="3492C58E" w14:textId="77777777" w:rsidR="00CF3F26" w:rsidRPr="007D5E4A" w:rsidRDefault="00CF3F26" w:rsidP="00DD0B52">
      <w:r w:rsidRPr="007D5E4A">
        <w:t>Overall, the analysis shows a robust negative relationship between life expectancy and fertility rates, suggesting that improvements in life expectancy can contribute to fertility decline, which aligns with broader socio-economic development trends. The positive association with population growth indicates that in settings where population grows rapidly, fertility rates may not decline as fast. ​​</w:t>
      </w:r>
    </w:p>
    <w:p w14:paraId="7DB1ACE0" w14:textId="77777777" w:rsidR="00CF3F26" w:rsidRPr="007D5E4A" w:rsidRDefault="00CF3F26" w:rsidP="00DD0B52"/>
    <w:p w14:paraId="24421AD7" w14:textId="77777777" w:rsidR="00CF3F26" w:rsidRDefault="00FB768E" w:rsidP="00DD0B52">
      <w:pPr>
        <w:rPr>
          <w:b/>
          <w:bCs/>
        </w:rPr>
      </w:pPr>
      <w:r>
        <w:rPr>
          <w:b/>
          <w:bCs/>
        </w:rPr>
        <w:t>6</w:t>
      </w:r>
      <w:r w:rsidR="00CF3F26" w:rsidRPr="007D5E4A">
        <w:rPr>
          <w:b/>
          <w:bCs/>
        </w:rPr>
        <w:t>.2.4 Principle Component Analysis</w:t>
      </w:r>
    </w:p>
    <w:p w14:paraId="170C818D" w14:textId="77777777" w:rsidR="000C7ABA" w:rsidRDefault="000C7ABA" w:rsidP="00DD0B52">
      <w:pPr>
        <w:rPr>
          <w:b/>
          <w:bCs/>
        </w:rPr>
      </w:pPr>
    </w:p>
    <w:tbl>
      <w:tblPr>
        <w:tblpPr w:leftFromText="180" w:rightFromText="180" w:vertAnchor="text" w:horzAnchor="margin" w:tblpXSpec="right" w:tblpY="131"/>
        <w:tblW w:w="7224" w:type="dxa"/>
        <w:tblLook w:val="04A0" w:firstRow="1" w:lastRow="0" w:firstColumn="1" w:lastColumn="0" w:noHBand="0" w:noVBand="1"/>
      </w:tblPr>
      <w:tblGrid>
        <w:gridCol w:w="1392"/>
        <w:gridCol w:w="1891"/>
        <w:gridCol w:w="1599"/>
        <w:gridCol w:w="2342"/>
      </w:tblGrid>
      <w:tr w:rsidR="000C7ABA" w:rsidRPr="007D5E4A" w14:paraId="788B7709" w14:textId="77777777" w:rsidTr="000C7ABA">
        <w:trPr>
          <w:trHeight w:val="287"/>
        </w:trPr>
        <w:tc>
          <w:tcPr>
            <w:tcW w:w="0" w:type="auto"/>
            <w:tcBorders>
              <w:top w:val="single" w:sz="4" w:space="0" w:color="auto"/>
              <w:bottom w:val="single" w:sz="4" w:space="0" w:color="auto"/>
            </w:tcBorders>
            <w:hideMark/>
          </w:tcPr>
          <w:p w14:paraId="55D2B0B9" w14:textId="77777777" w:rsidR="000C7ABA" w:rsidRPr="00AC2041" w:rsidRDefault="000C7ABA" w:rsidP="00DD0B52">
            <w:pPr>
              <w:rPr>
                <w:b/>
                <w:bCs/>
              </w:rPr>
            </w:pPr>
            <w:r w:rsidRPr="00AC2041">
              <w:rPr>
                <w:b/>
                <w:bCs/>
              </w:rPr>
              <w:t>Population</w:t>
            </w:r>
          </w:p>
        </w:tc>
        <w:tc>
          <w:tcPr>
            <w:tcW w:w="0" w:type="auto"/>
            <w:tcBorders>
              <w:top w:val="single" w:sz="4" w:space="0" w:color="auto"/>
              <w:bottom w:val="single" w:sz="4" w:space="0" w:color="auto"/>
            </w:tcBorders>
            <w:hideMark/>
          </w:tcPr>
          <w:p w14:paraId="0ED29362" w14:textId="77777777" w:rsidR="000C7ABA" w:rsidRPr="00AC2041" w:rsidRDefault="000C7ABA" w:rsidP="00DD0B52">
            <w:pPr>
              <w:rPr>
                <w:b/>
                <w:bCs/>
              </w:rPr>
            </w:pPr>
            <w:r w:rsidRPr="00AC2041">
              <w:rPr>
                <w:b/>
                <w:bCs/>
              </w:rPr>
              <w:t>LifeExpectancy</w:t>
            </w:r>
          </w:p>
        </w:tc>
        <w:tc>
          <w:tcPr>
            <w:tcW w:w="0" w:type="auto"/>
            <w:tcBorders>
              <w:top w:val="single" w:sz="4" w:space="0" w:color="auto"/>
              <w:bottom w:val="single" w:sz="4" w:space="0" w:color="auto"/>
            </w:tcBorders>
            <w:hideMark/>
          </w:tcPr>
          <w:p w14:paraId="3F6CD8D7" w14:textId="77777777" w:rsidR="000C7ABA" w:rsidRPr="00AC2041" w:rsidRDefault="000C7ABA" w:rsidP="00DD0B52">
            <w:pPr>
              <w:rPr>
                <w:b/>
                <w:bCs/>
              </w:rPr>
            </w:pPr>
            <w:r w:rsidRPr="00AC2041">
              <w:rPr>
                <w:b/>
                <w:bCs/>
              </w:rPr>
              <w:t>FertilityRate</w:t>
            </w:r>
          </w:p>
        </w:tc>
        <w:tc>
          <w:tcPr>
            <w:tcW w:w="0" w:type="auto"/>
            <w:tcBorders>
              <w:top w:val="single" w:sz="4" w:space="0" w:color="auto"/>
              <w:bottom w:val="single" w:sz="4" w:space="0" w:color="auto"/>
            </w:tcBorders>
            <w:hideMark/>
          </w:tcPr>
          <w:p w14:paraId="4DC77976" w14:textId="77777777" w:rsidR="000C7ABA" w:rsidRPr="00AC2041" w:rsidRDefault="000C7ABA" w:rsidP="00DD0B52">
            <w:pPr>
              <w:rPr>
                <w:b/>
                <w:bCs/>
              </w:rPr>
            </w:pPr>
            <w:r w:rsidRPr="00AC2041">
              <w:rPr>
                <w:b/>
                <w:bCs/>
              </w:rPr>
              <w:t>Explained Variance</w:t>
            </w:r>
          </w:p>
        </w:tc>
      </w:tr>
      <w:tr w:rsidR="000C7ABA" w:rsidRPr="007D5E4A" w14:paraId="24954F1A" w14:textId="77777777" w:rsidTr="000C7ABA">
        <w:trPr>
          <w:trHeight w:val="471"/>
        </w:trPr>
        <w:tc>
          <w:tcPr>
            <w:tcW w:w="0" w:type="auto"/>
            <w:tcBorders>
              <w:top w:val="single" w:sz="4" w:space="0" w:color="auto"/>
            </w:tcBorders>
            <w:hideMark/>
          </w:tcPr>
          <w:p w14:paraId="196285F0" w14:textId="77777777" w:rsidR="000C7ABA" w:rsidRPr="007D5E4A" w:rsidRDefault="000C7ABA" w:rsidP="00DD0B52">
            <w:r w:rsidRPr="007D5E4A">
              <w:t>-0.103811 </w:t>
            </w:r>
          </w:p>
        </w:tc>
        <w:tc>
          <w:tcPr>
            <w:tcW w:w="0" w:type="auto"/>
            <w:tcBorders>
              <w:top w:val="single" w:sz="4" w:space="0" w:color="auto"/>
            </w:tcBorders>
            <w:hideMark/>
          </w:tcPr>
          <w:p w14:paraId="73B910CA" w14:textId="77777777" w:rsidR="000C7ABA" w:rsidRPr="007D5E4A" w:rsidRDefault="000C7ABA" w:rsidP="00DD0B52">
            <w:r w:rsidRPr="007D5E4A">
              <w:t>-0.701935</w:t>
            </w:r>
          </w:p>
        </w:tc>
        <w:tc>
          <w:tcPr>
            <w:tcW w:w="0" w:type="auto"/>
            <w:tcBorders>
              <w:top w:val="single" w:sz="4" w:space="0" w:color="auto"/>
            </w:tcBorders>
            <w:hideMark/>
          </w:tcPr>
          <w:p w14:paraId="1DC615F6" w14:textId="77777777" w:rsidR="000C7ABA" w:rsidRPr="007D5E4A" w:rsidRDefault="000C7ABA" w:rsidP="00DD0B52">
            <w:r w:rsidRPr="007D5E4A">
              <w:t>0.704635 </w:t>
            </w:r>
          </w:p>
        </w:tc>
        <w:tc>
          <w:tcPr>
            <w:tcW w:w="0" w:type="auto"/>
            <w:tcBorders>
              <w:top w:val="single" w:sz="4" w:space="0" w:color="auto"/>
            </w:tcBorders>
            <w:hideMark/>
          </w:tcPr>
          <w:p w14:paraId="53454C84" w14:textId="77777777" w:rsidR="000C7ABA" w:rsidRPr="007D5E4A" w:rsidRDefault="000C7ABA" w:rsidP="00DD0B52">
            <w:r w:rsidRPr="007D5E4A">
              <w:t>0.607847</w:t>
            </w:r>
          </w:p>
        </w:tc>
      </w:tr>
      <w:tr w:rsidR="000C7ABA" w:rsidRPr="007D5E4A" w14:paraId="34279D54" w14:textId="77777777" w:rsidTr="000C7ABA">
        <w:trPr>
          <w:trHeight w:val="287"/>
        </w:trPr>
        <w:tc>
          <w:tcPr>
            <w:tcW w:w="0" w:type="auto"/>
            <w:hideMark/>
          </w:tcPr>
          <w:p w14:paraId="0F08688C" w14:textId="77777777" w:rsidR="000C7ABA" w:rsidRPr="007D5E4A" w:rsidRDefault="000C7ABA" w:rsidP="00DD0B52">
            <w:r w:rsidRPr="007D5E4A">
              <w:t>0.993904</w:t>
            </w:r>
          </w:p>
        </w:tc>
        <w:tc>
          <w:tcPr>
            <w:tcW w:w="0" w:type="auto"/>
            <w:hideMark/>
          </w:tcPr>
          <w:p w14:paraId="509F7D01" w14:textId="77777777" w:rsidR="000C7ABA" w:rsidRPr="007D5E4A" w:rsidRDefault="000C7ABA" w:rsidP="00DD0B52">
            <w:r w:rsidRPr="007D5E4A">
              <w:t>-0.099650</w:t>
            </w:r>
          </w:p>
        </w:tc>
        <w:tc>
          <w:tcPr>
            <w:tcW w:w="0" w:type="auto"/>
            <w:hideMark/>
          </w:tcPr>
          <w:p w14:paraId="118B6768" w14:textId="77777777" w:rsidR="000C7ABA" w:rsidRPr="007D5E4A" w:rsidRDefault="000C7ABA" w:rsidP="00DD0B52">
            <w:r w:rsidRPr="007D5E4A">
              <w:t>0.047160   </w:t>
            </w:r>
          </w:p>
        </w:tc>
        <w:tc>
          <w:tcPr>
            <w:tcW w:w="0" w:type="auto"/>
            <w:hideMark/>
          </w:tcPr>
          <w:p w14:paraId="2C0AC4AB" w14:textId="77777777" w:rsidR="000C7ABA" w:rsidRPr="007D5E4A" w:rsidRDefault="000C7ABA" w:rsidP="00DD0B52">
            <w:r w:rsidRPr="007D5E4A">
              <w:t>0.330718</w:t>
            </w:r>
          </w:p>
        </w:tc>
      </w:tr>
      <w:tr w:rsidR="000C7ABA" w:rsidRPr="007D5E4A" w14:paraId="22A50E69" w14:textId="77777777" w:rsidTr="000C7ABA">
        <w:trPr>
          <w:trHeight w:val="287"/>
        </w:trPr>
        <w:tc>
          <w:tcPr>
            <w:tcW w:w="0" w:type="auto"/>
            <w:hideMark/>
          </w:tcPr>
          <w:p w14:paraId="6ECB64BF" w14:textId="77777777" w:rsidR="000C7ABA" w:rsidRPr="007D5E4A" w:rsidRDefault="000C7ABA" w:rsidP="00DD0B52">
            <w:r w:rsidRPr="007D5E4A">
              <w:t>-0.037114 </w:t>
            </w:r>
          </w:p>
        </w:tc>
        <w:tc>
          <w:tcPr>
            <w:tcW w:w="0" w:type="auto"/>
            <w:hideMark/>
          </w:tcPr>
          <w:p w14:paraId="0BE4ED4C" w14:textId="77777777" w:rsidR="000C7ABA" w:rsidRPr="007D5E4A" w:rsidRDefault="000C7ABA" w:rsidP="00DD0B52">
            <w:r w:rsidRPr="007D5E4A">
              <w:t>-0.705235</w:t>
            </w:r>
          </w:p>
        </w:tc>
        <w:tc>
          <w:tcPr>
            <w:tcW w:w="0" w:type="auto"/>
            <w:hideMark/>
          </w:tcPr>
          <w:p w14:paraId="68704477" w14:textId="77777777" w:rsidR="000C7ABA" w:rsidRPr="007D5E4A" w:rsidRDefault="000C7ABA" w:rsidP="00DD0B52">
            <w:r w:rsidRPr="007D5E4A">
              <w:t>  -0.708001  </w:t>
            </w:r>
          </w:p>
        </w:tc>
        <w:tc>
          <w:tcPr>
            <w:tcW w:w="0" w:type="auto"/>
            <w:hideMark/>
          </w:tcPr>
          <w:p w14:paraId="35FF6A7D" w14:textId="77777777" w:rsidR="000C7ABA" w:rsidRPr="007D5E4A" w:rsidRDefault="000C7ABA" w:rsidP="00DD0B52">
            <w:r w:rsidRPr="007D5E4A">
              <w:t>0.061435</w:t>
            </w:r>
          </w:p>
        </w:tc>
      </w:tr>
    </w:tbl>
    <w:p w14:paraId="3126932F" w14:textId="77777777" w:rsidR="000C7ABA" w:rsidRPr="002A155C" w:rsidRDefault="000C7ABA" w:rsidP="00DD0B52">
      <w:r w:rsidRPr="002A155C">
        <w:rPr>
          <w:b/>
          <w:bCs/>
        </w:rPr>
        <w:t>Table 1</w:t>
      </w:r>
      <w:r>
        <w:rPr>
          <w:b/>
          <w:bCs/>
        </w:rPr>
        <w:t xml:space="preserve">3 </w:t>
      </w:r>
      <w:r>
        <w:t>Correlation Matrix</w:t>
      </w:r>
    </w:p>
    <w:p w14:paraId="2FE93F07" w14:textId="77777777" w:rsidR="000C7ABA" w:rsidRPr="007D5E4A" w:rsidRDefault="000C7ABA" w:rsidP="00DD0B52"/>
    <w:p w14:paraId="2223B7ED" w14:textId="77777777" w:rsidR="00CF3F26" w:rsidRDefault="00CF3F26" w:rsidP="00DD0B52"/>
    <w:p w14:paraId="4F53C468" w14:textId="77777777" w:rsidR="00FB768E" w:rsidRPr="007D5E4A" w:rsidRDefault="00FB768E" w:rsidP="00DD0B52"/>
    <w:p w14:paraId="5BA2A44B" w14:textId="77777777" w:rsidR="00CF3F26" w:rsidRPr="007D5E4A" w:rsidRDefault="00CF3F26" w:rsidP="00DD0B52">
      <w:r w:rsidRPr="007D5E4A">
        <w:t>   </w:t>
      </w:r>
    </w:p>
    <w:p w14:paraId="0985BB46" w14:textId="77777777" w:rsidR="00CF3F26" w:rsidRPr="007D5E4A" w:rsidRDefault="00CF3F26" w:rsidP="00DD0B52">
      <w:r w:rsidRPr="007D5E4A">
        <w:t>The components are ranked in order of the variance they explain in the data:</w:t>
      </w:r>
    </w:p>
    <w:p w14:paraId="6A6E20BA" w14:textId="77777777" w:rsidR="00CF3F26" w:rsidRPr="007D5E4A" w:rsidRDefault="00CF3F26" w:rsidP="00DD0B52">
      <w:pPr>
        <w:numPr>
          <w:ilvl w:val="0"/>
          <w:numId w:val="7"/>
        </w:numPr>
      </w:pPr>
      <w:r w:rsidRPr="007D5E4A">
        <w:t>PC1 explains the most variance.</w:t>
      </w:r>
    </w:p>
    <w:p w14:paraId="1DEA7788" w14:textId="77777777" w:rsidR="00CF3F26" w:rsidRPr="007D5E4A" w:rsidRDefault="00CF3F26" w:rsidP="00DD0B52">
      <w:pPr>
        <w:numPr>
          <w:ilvl w:val="0"/>
          <w:numId w:val="7"/>
        </w:numPr>
      </w:pPr>
      <w:r w:rsidRPr="007D5E4A">
        <w:t>PC2 explains the second most, and so on.</w:t>
      </w:r>
    </w:p>
    <w:p w14:paraId="46F86ED4" w14:textId="77777777" w:rsidR="00CF3F26" w:rsidRPr="007D5E4A" w:rsidRDefault="00CF3F26" w:rsidP="00DD0B52">
      <w:r w:rsidRPr="007D5E4A">
        <w:t> The "Explained Variance" column tells us the proportion of the dataset's total variance captured by each principal component. For example:</w:t>
      </w:r>
    </w:p>
    <w:p w14:paraId="43C08D5D" w14:textId="77777777" w:rsidR="00CF3F26" w:rsidRPr="007D5E4A" w:rsidRDefault="00CF3F26" w:rsidP="00DD0B52">
      <w:pPr>
        <w:numPr>
          <w:ilvl w:val="0"/>
          <w:numId w:val="8"/>
        </w:numPr>
      </w:pPr>
      <w:r w:rsidRPr="007D5E4A">
        <w:t>The first component (PC1) explains approximately 60.78% of the variance, suggesting it captures a significant portion of the overall patterns in the data.</w:t>
      </w:r>
    </w:p>
    <w:p w14:paraId="4CFBF42A" w14:textId="77777777" w:rsidR="00CF3F26" w:rsidRPr="007D5E4A" w:rsidRDefault="00CF3F26" w:rsidP="00DD0B52">
      <w:pPr>
        <w:numPr>
          <w:ilvl w:val="0"/>
          <w:numId w:val="8"/>
        </w:numPr>
      </w:pPr>
      <w:r w:rsidRPr="007D5E4A">
        <w:t>The second component (PC2) explains about 33.07% of the variance, which is also substantial.</w:t>
      </w:r>
    </w:p>
    <w:p w14:paraId="78D2BEC1" w14:textId="77777777" w:rsidR="00CF3F26" w:rsidRPr="007D5E4A" w:rsidRDefault="00CF3F26" w:rsidP="00DD0B52"/>
    <w:p w14:paraId="47ECE79A" w14:textId="77777777" w:rsidR="00CF3F26" w:rsidRPr="007D5E4A" w:rsidRDefault="00CF3F26" w:rsidP="00DD0B52">
      <w:r w:rsidRPr="007D5E4A">
        <w:t> The values in each cell of the PCA component matrix show how much each original feature contributes to each principal component</w:t>
      </w:r>
    </w:p>
    <w:p w14:paraId="667DD197" w14:textId="77777777" w:rsidR="00CF3F26" w:rsidRPr="007D5E4A" w:rsidRDefault="00CF3F26" w:rsidP="00DD0B52">
      <w:pPr>
        <w:numPr>
          <w:ilvl w:val="0"/>
          <w:numId w:val="9"/>
        </w:numPr>
      </w:pPr>
      <w:r w:rsidRPr="007D5E4A">
        <w:t>PC1 has high contributions from both Life Expectancy (negative) and Fertility Rate (positive), which means it primarily reflects the relationship between these two features. A high positive loading on Fertility Rate and a high negative loading on Life Expectancy suggests that these two features have an inverse relationship within this component.</w:t>
      </w:r>
    </w:p>
    <w:p w14:paraId="03DE751C" w14:textId="77777777" w:rsidR="00CB2EB7" w:rsidRPr="007D5E4A" w:rsidRDefault="00CF3F26" w:rsidP="00DD0B52">
      <w:pPr>
        <w:numPr>
          <w:ilvl w:val="0"/>
          <w:numId w:val="9"/>
        </w:numPr>
      </w:pPr>
      <w:r w:rsidRPr="007D5E4A">
        <w:t>PC2 is dominated by Population, meaning that Population largely drives the patterns represented by this component. This could imply that variations in Population are largely independent of the variations captured by Life Expectancy and Fertility Rate</w:t>
      </w:r>
    </w:p>
    <w:p w14:paraId="083F7231" w14:textId="77777777" w:rsidR="00CB2EB7" w:rsidRPr="007D5E4A" w:rsidRDefault="00CB2EB7" w:rsidP="00DD0B52"/>
    <w:p w14:paraId="050C6C10" w14:textId="77777777" w:rsidR="00CB2EB7" w:rsidRDefault="00CB2EB7" w:rsidP="00DD0B52"/>
    <w:p w14:paraId="489A665F" w14:textId="77777777" w:rsidR="00FB768E" w:rsidRDefault="00FB768E" w:rsidP="00DD0B52"/>
    <w:p w14:paraId="66562C11" w14:textId="77777777" w:rsidR="00FB768E" w:rsidRDefault="00FB768E" w:rsidP="00DD0B52"/>
    <w:p w14:paraId="12E5750D" w14:textId="77777777" w:rsidR="00FB768E" w:rsidRDefault="00FB768E" w:rsidP="00DD0B52"/>
    <w:p w14:paraId="07C82448" w14:textId="77777777" w:rsidR="00FB768E" w:rsidRPr="007D5E4A" w:rsidRDefault="00FB768E" w:rsidP="00DD0B52"/>
    <w:p w14:paraId="2424863F" w14:textId="77777777" w:rsidR="00CB2EB7" w:rsidRPr="007D5E4A" w:rsidRDefault="00CB2EB7" w:rsidP="00DD0B52"/>
    <w:p w14:paraId="283ED92F" w14:textId="77777777" w:rsidR="00CF3F26" w:rsidRPr="007D5E4A" w:rsidRDefault="00FB768E" w:rsidP="00DD0B52">
      <w:pPr>
        <w:rPr>
          <w:b/>
          <w:bCs/>
        </w:rPr>
      </w:pPr>
      <w:r>
        <w:rPr>
          <w:b/>
          <w:bCs/>
        </w:rPr>
        <w:lastRenderedPageBreak/>
        <w:t xml:space="preserve">7 </w:t>
      </w:r>
      <w:r w:rsidR="00CF3F26" w:rsidRPr="00697EBB">
        <w:rPr>
          <w:b/>
          <w:bCs/>
        </w:rPr>
        <w:t>Conclusion and Policy Implications</w:t>
      </w:r>
    </w:p>
    <w:p w14:paraId="0E1E9FB1" w14:textId="77777777" w:rsidR="00CB2EB7" w:rsidRPr="007D5E4A" w:rsidRDefault="00CB2EB7" w:rsidP="00DD0B52">
      <w:pPr>
        <w:rPr>
          <w:b/>
          <w:bCs/>
        </w:rPr>
      </w:pPr>
    </w:p>
    <w:p w14:paraId="47E104F2" w14:textId="77777777" w:rsidR="00697EBB" w:rsidRDefault="00697EBB" w:rsidP="00DD0B52">
      <w:r>
        <w:t>The study provides a comprehensive analysis of the connections between fertility rates, demographic shifts, and economic indicators, offering new insights into how these factors collectively shape socioeconomic outcomes across various regions. By examining global panel data, this research identifies key determinants of fertility trends, including life expectancy, income levels, urbanization, and mean age at childbearing, which vary in their impact across different economic and cultural contexts.</w:t>
      </w:r>
    </w:p>
    <w:p w14:paraId="1E8781DF" w14:textId="77777777" w:rsidR="00697EBB" w:rsidRDefault="00697EBB" w:rsidP="00DD0B52"/>
    <w:p w14:paraId="4F8E0634" w14:textId="77777777" w:rsidR="00697EBB" w:rsidRDefault="00697EBB" w:rsidP="00DD0B52">
      <w:r>
        <w:t>The literature review elucidates the significance of factors like life expectancy, population growth, and urbanization in influencing fertility rates. Life expectancy, for example, often inversely correlates with fertility, particularly in high-income regions, where longer lifespans and improved healthcare reduce the need for larger families. Conversely, in regions with high fertility, such as parts of sub-Saharan Africa, the relationship between life expectancy and fertility is moderated by cultural norms and limited access to healthcare. Urbanization, too, is shown to influence fertility patterns by increasing access to education, healthcare, and family planning, particularly in developing regions. Economic indicators such as GDP per capita and Human Development Index (HDI) further contribute to fertility decline by improving educational and healthcare investments, particularly when accompanied by delayed childbearing associated with career and education priorities.</w:t>
      </w:r>
    </w:p>
    <w:p w14:paraId="1690C997" w14:textId="77777777" w:rsidR="00697EBB" w:rsidRDefault="00697EBB" w:rsidP="00DD0B52"/>
    <w:p w14:paraId="4B927162" w14:textId="77777777" w:rsidR="00697EBB" w:rsidRDefault="00697EBB" w:rsidP="00DD0B52">
      <w:r>
        <w:t>The methodology section employs advanced econometric techniques to analyze these relationships, utilizing panel data analysis, Principal Component Analysis (PCA), and Random Forest regression. The panel data model offers a robust framework to control for country-specific effects and examine within- and between-country variations in fertility rates, capturing nuanced interactions between demographic and economic variables over time. PCA is used to condense governance and institutional quality indicators, reducing data dimensionality while retaining the most significant trends. Random Forest regression further enriches the analysis by revealing the relative importance of each factor, with life expectancy and economic indicators emerging as primary predictors of fertility.</w:t>
      </w:r>
    </w:p>
    <w:p w14:paraId="4C149A09" w14:textId="77777777" w:rsidR="00697EBB" w:rsidRDefault="00697EBB" w:rsidP="00DD0B52"/>
    <w:p w14:paraId="4D663884" w14:textId="77777777" w:rsidR="00697EBB" w:rsidRDefault="00697EBB" w:rsidP="00DD0B52">
      <w:r>
        <w:t>Empirical results reinforce the inverse relationship between life expectancy and fertility, as well as the negative correlation between economic indicators and fertility rates, particularly in higher-income nations. The Random Forest model, achieving an R-squared of 0.43, indicates that demographic factors explain a substantial portion of fertility rate variability, underscoring the importance of life expectancy and income levels. Additionally, fixed and random effects models reveal that fertility influences economic development, with higher fertility rates associated with lower economic growth. The Hausman test further validates the fixed-effects model as the more appropriate choice, highlighting the significance of within-country effects over time.</w:t>
      </w:r>
    </w:p>
    <w:p w14:paraId="6592F359" w14:textId="77777777" w:rsidR="00697EBB" w:rsidRDefault="00697EBB" w:rsidP="00DD0B52"/>
    <w:p w14:paraId="518E7D8A" w14:textId="77777777" w:rsidR="00697EBB" w:rsidRDefault="00697EBB" w:rsidP="00DD0B52">
      <w:r>
        <w:t xml:space="preserve">The policy implications drawn from these findings emphasize the need for region-specific interventions to address high fertility rates in developing areas, where economic constraints and limited access to healthcare and family planning resources hinder fertility decline. Enhancing healthcare systems, particularly maternal and child health services, can reduce mortality and indirectly affect fertility rates, fostering broader socioeconomic development. Likewise, improving education, particularly for women, and expanding family planning programs can empower individuals to make informed reproductive choices, contributing to sustainable fertility reductions. In higher-income regions, where low fertility rates may </w:t>
      </w:r>
      <w:r>
        <w:lastRenderedPageBreak/>
        <w:t>impact labor force composition, policies that balance work and family life could help maintain population stability.</w:t>
      </w:r>
    </w:p>
    <w:p w14:paraId="6272F9A9" w14:textId="77777777" w:rsidR="00697EBB" w:rsidRDefault="00697EBB" w:rsidP="00DD0B52"/>
    <w:p w14:paraId="6FE0C320" w14:textId="77777777" w:rsidR="00066593" w:rsidRPr="007D5E4A" w:rsidRDefault="00697EBB" w:rsidP="00DD0B52">
      <w:r>
        <w:t>In summary, this study not only advances our understanding of the relationship between demographic factors, fertility, and economic development but also provides actionable insights for policymakers. By recognizing the unique socioeconomic and cultural factors that influence fertility across regions, targeted policies can help manage demographic transitions in a way that promotes long-term economic stability and growth, addressing the distinct needs of both high- and low-income countries. These findings offer a valuable framework for future research and policy interventions aimed at achieving sustainable development goals through balanced demographic and economic strategies.</w:t>
      </w:r>
    </w:p>
    <w:p w14:paraId="1CAA90B2" w14:textId="77777777" w:rsidR="00066593" w:rsidRPr="007D5E4A" w:rsidRDefault="00066593" w:rsidP="00DD0B52"/>
    <w:p w14:paraId="567DD00F" w14:textId="77777777" w:rsidR="00EE488F" w:rsidRPr="007D5E4A" w:rsidRDefault="00EE488F" w:rsidP="00DD0B52">
      <w:pPr>
        <w:rPr>
          <w:b/>
          <w:bCs/>
          <w:sz w:val="28"/>
          <w:szCs w:val="28"/>
        </w:rPr>
      </w:pPr>
      <w:r w:rsidRPr="007D5E4A">
        <w:rPr>
          <w:b/>
          <w:bCs/>
          <w:sz w:val="28"/>
          <w:szCs w:val="28"/>
        </w:rPr>
        <w:br w:type="page"/>
      </w:r>
    </w:p>
    <w:p w14:paraId="33A3AFA9" w14:textId="77777777" w:rsidR="00066593" w:rsidRPr="007D5E4A" w:rsidRDefault="00066593" w:rsidP="00DD0B52">
      <w:pPr>
        <w:rPr>
          <w:b/>
          <w:bCs/>
          <w:sz w:val="28"/>
          <w:szCs w:val="28"/>
        </w:rPr>
      </w:pPr>
      <w:r w:rsidRPr="007D5E4A">
        <w:rPr>
          <w:b/>
          <w:bCs/>
          <w:sz w:val="28"/>
          <w:szCs w:val="28"/>
        </w:rPr>
        <w:lastRenderedPageBreak/>
        <w:t>References</w:t>
      </w:r>
    </w:p>
    <w:p w14:paraId="2996A290" w14:textId="77777777" w:rsidR="009E0708" w:rsidRPr="007D5E4A" w:rsidRDefault="009E0708" w:rsidP="00DD0B52">
      <w:pPr>
        <w:rPr>
          <w:b/>
          <w:bCs/>
          <w:sz w:val="28"/>
          <w:szCs w:val="28"/>
        </w:rPr>
      </w:pPr>
    </w:p>
    <w:p w14:paraId="12E742AF" w14:textId="77777777" w:rsidR="007B15B2" w:rsidRPr="007D5E4A" w:rsidRDefault="007B15B2" w:rsidP="00DD0B52">
      <w:pPr>
        <w:pStyle w:val="NormalWeb"/>
        <w:numPr>
          <w:ilvl w:val="0"/>
          <w:numId w:val="14"/>
        </w:numPr>
      </w:pPr>
      <w:bookmarkStart w:id="0" w:name="UN"/>
      <w:r>
        <w:t xml:space="preserve">United Nations, Department of Economic and Social Affairs, Population Division. (2015). </w:t>
      </w:r>
      <w:r>
        <w:rPr>
          <w:rStyle w:val="Emphasis"/>
        </w:rPr>
        <w:t>World Fertility Patterns 2015 – Data Booklet</w:t>
      </w:r>
      <w:r>
        <w:t xml:space="preserve">. Available at: </w:t>
      </w:r>
      <w:hyperlink r:id="rId7" w:tgtFrame="_new" w:history="1">
        <w:r>
          <w:rPr>
            <w:rStyle w:val="Hyperlink"/>
          </w:rPr>
          <w:t>https://www.unpopulation.org</w:t>
        </w:r>
      </w:hyperlink>
      <w:r>
        <w:t>​</w:t>
      </w:r>
    </w:p>
    <w:p w14:paraId="4CF5FB48" w14:textId="77777777" w:rsidR="00C5211B" w:rsidRDefault="00C5211B" w:rsidP="00DD0B52">
      <w:pPr>
        <w:pStyle w:val="NormalWeb"/>
        <w:numPr>
          <w:ilvl w:val="0"/>
          <w:numId w:val="14"/>
        </w:numPr>
      </w:pPr>
      <w:bookmarkStart w:id="1" w:name="no2"/>
      <w:bookmarkEnd w:id="0"/>
      <w:r>
        <w:t xml:space="preserve">Bloom, D.E., Canning, D., &amp; Sevilla, J. (2001). Economic growth and the demographic transition. </w:t>
      </w:r>
      <w:r>
        <w:rPr>
          <w:rStyle w:val="Emphasis"/>
        </w:rPr>
        <w:t>NBER Working Paper No. 8685</w:t>
      </w:r>
      <w:r>
        <w:t xml:space="preserve">. National Bureau of Economic Research. Available at: </w:t>
      </w:r>
      <w:hyperlink r:id="rId8" w:tgtFrame="_new" w:history="1">
        <w:r>
          <w:rPr>
            <w:rStyle w:val="Hyperlink"/>
          </w:rPr>
          <w:t>https://www.nber.org/papers/w8685</w:t>
        </w:r>
      </w:hyperlink>
    </w:p>
    <w:p w14:paraId="13B5CC7B" w14:textId="77777777" w:rsidR="007B15B2" w:rsidRDefault="007B15B2" w:rsidP="00DD0B52">
      <w:pPr>
        <w:pStyle w:val="NormalWeb"/>
        <w:numPr>
          <w:ilvl w:val="0"/>
          <w:numId w:val="14"/>
        </w:numPr>
      </w:pPr>
      <w:bookmarkStart w:id="2" w:name="no3"/>
      <w:bookmarkEnd w:id="1"/>
      <w:r>
        <w:t xml:space="preserve">Bongaarts, J. (2016). Africa’s unique fertility transition. </w:t>
      </w:r>
      <w:r>
        <w:rPr>
          <w:rStyle w:val="Emphasis"/>
        </w:rPr>
        <w:t>Population and Development Review</w:t>
      </w:r>
      <w:r>
        <w:t xml:space="preserve">, 42(S1), 39-58. This paper highlights how Africa’s fertility transition is distinct from other regions due to cultural and socioeconomic factors. </w:t>
      </w:r>
      <w:hyperlink r:id="rId9" w:tgtFrame="_new" w:history="1">
        <w:r>
          <w:rPr>
            <w:rStyle w:val="Hyperlink"/>
          </w:rPr>
          <w:t>https://onlinelibrary.wiley.com/doi/10.1111/j.1728-4457.2016.00164.x</w:t>
        </w:r>
      </w:hyperlink>
      <w:r>
        <w:t xml:space="preserve">​ </w:t>
      </w:r>
    </w:p>
    <w:p w14:paraId="40723D8F" w14:textId="77777777" w:rsidR="00C5211B" w:rsidRDefault="00C5211B" w:rsidP="00DD0B52">
      <w:pPr>
        <w:pStyle w:val="NormalWeb"/>
        <w:numPr>
          <w:ilvl w:val="0"/>
          <w:numId w:val="14"/>
        </w:numPr>
      </w:pPr>
      <w:bookmarkStart w:id="3" w:name="no4"/>
      <w:bookmarkEnd w:id="2"/>
      <w:r>
        <w:t xml:space="preserve">Karra, M., Canning, D., &amp; Wilde, J. (2017). The effect of fertility decline on economic growth in Africa: A macrosimulation model. </w:t>
      </w:r>
      <w:r>
        <w:rPr>
          <w:rStyle w:val="Emphasis"/>
        </w:rPr>
        <w:t>Population and Development Review</w:t>
      </w:r>
      <w:r>
        <w:t xml:space="preserve">, 43, 237-263. Available at: </w:t>
      </w:r>
      <w:hyperlink r:id="rId10" w:tgtFrame="_new" w:history="1">
        <w:r>
          <w:rPr>
            <w:rStyle w:val="Hyperlink"/>
          </w:rPr>
          <w:t>https://www.jstor.org/stable/26622881</w:t>
        </w:r>
      </w:hyperlink>
    </w:p>
    <w:p w14:paraId="79B07D99" w14:textId="77777777" w:rsidR="007B15B2" w:rsidRDefault="007B15B2" w:rsidP="00DD0B52">
      <w:pPr>
        <w:pStyle w:val="NormalWeb"/>
        <w:numPr>
          <w:ilvl w:val="0"/>
          <w:numId w:val="14"/>
        </w:numPr>
      </w:pPr>
      <w:bookmarkStart w:id="4" w:name="no5"/>
      <w:bookmarkEnd w:id="3"/>
      <w:r>
        <w:t xml:space="preserve">Bloom, D.E., Canning, D., Fink, G., &amp; Finlay, J.E. (2008). Fertility, the demographic dividend, and economic growth. </w:t>
      </w:r>
      <w:r>
        <w:rPr>
          <w:rStyle w:val="Emphasis"/>
        </w:rPr>
        <w:t>Harvard School of Public Health</w:t>
      </w:r>
      <w:r>
        <w:t>. This study analyzes the relationship between fertility decline and income, finding that reduced fertility can lead to economic benefits through increased labor force participation and education</w:t>
      </w:r>
      <w:bookmarkEnd w:id="4"/>
      <w:r>
        <w:t>.</w:t>
      </w:r>
    </w:p>
    <w:p w14:paraId="02CF50F2" w14:textId="77777777" w:rsidR="007B15B2" w:rsidRDefault="007B15B2" w:rsidP="00DD0B52">
      <w:pPr>
        <w:pStyle w:val="NormalWeb"/>
        <w:numPr>
          <w:ilvl w:val="0"/>
          <w:numId w:val="14"/>
        </w:numPr>
      </w:pPr>
      <w:bookmarkStart w:id="5" w:name="no6"/>
      <w:r>
        <w:t xml:space="preserve">Katole, A., &amp; Saoji, A.V. (2019). Prevalence of primary infertility and its associated risk factors in urban population of Central India: A community-based cross-sectional study. </w:t>
      </w:r>
      <w:r>
        <w:rPr>
          <w:rStyle w:val="Emphasis"/>
        </w:rPr>
        <w:t>Indian Journal of Community Medicine</w:t>
      </w:r>
      <w:r>
        <w:t xml:space="preserve">, 44(4), 337-341. </w:t>
      </w:r>
      <w:hyperlink r:id="rId11" w:history="1">
        <w:r w:rsidR="00A14245" w:rsidRPr="00640E35">
          <w:rPr>
            <w:rStyle w:val="Hyperlink"/>
          </w:rPr>
          <w:t>https://doi.org/10.4103/ijcm.IJCM_7_19</w:t>
        </w:r>
      </w:hyperlink>
      <w:r w:rsidR="00A14245">
        <w:t xml:space="preserve"> </w:t>
      </w:r>
    </w:p>
    <w:p w14:paraId="6660F8DA" w14:textId="77777777" w:rsidR="007B15B2" w:rsidRDefault="007B15B2" w:rsidP="00DD0B52">
      <w:pPr>
        <w:pStyle w:val="NormalWeb"/>
        <w:numPr>
          <w:ilvl w:val="0"/>
          <w:numId w:val="14"/>
        </w:numPr>
      </w:pPr>
      <w:bookmarkStart w:id="6" w:name="no7"/>
      <w:bookmarkEnd w:id="5"/>
      <w:r>
        <w:t xml:space="preserve">Dash, A.K., Panda, S.P., Sahu, P.K., &amp; Jóźwik, B. (2024). Do green innovation and governance limit CO2 emissions: Evidence from twelve polluting countries with panel data decision tree model. </w:t>
      </w:r>
      <w:r>
        <w:rPr>
          <w:rStyle w:val="Emphasis"/>
        </w:rPr>
        <w:t>Discover Sustainability</w:t>
      </w:r>
      <w:r>
        <w:t xml:space="preserve">, 5, 198. </w:t>
      </w:r>
      <w:hyperlink r:id="rId12" w:tgtFrame="_new" w:history="1">
        <w:r>
          <w:rPr>
            <w:rStyle w:val="Hyperlink"/>
          </w:rPr>
          <w:t>https://doi.org/10.1007/s43621-024-00418-9</w:t>
        </w:r>
      </w:hyperlink>
      <w:r>
        <w:t>​</w:t>
      </w:r>
    </w:p>
    <w:bookmarkEnd w:id="6"/>
    <w:p w14:paraId="3137B218" w14:textId="77777777" w:rsidR="003032D9" w:rsidRDefault="003032D9" w:rsidP="00DD0B52">
      <w:pPr>
        <w:pStyle w:val="NormalWeb"/>
        <w:numPr>
          <w:ilvl w:val="0"/>
          <w:numId w:val="14"/>
        </w:numPr>
      </w:pPr>
      <w:r w:rsidRPr="003032D9">
        <w:t>Cleland, J., &amp; Wilson, C. (1987). "Demand Theories of the Fertility Transition: An Iconoclastic View." </w:t>
      </w:r>
      <w:r w:rsidRPr="003032D9">
        <w:rPr>
          <w:i/>
          <w:iCs/>
        </w:rPr>
        <w:t>Population Studies</w:t>
      </w:r>
      <w:r w:rsidRPr="003032D9">
        <w:t>, vol. 41, no. 1, pp. 5-30. This study discusses theories of fertility transitions and challenges conventional views on how economic development influences fertility.</w:t>
      </w:r>
      <w:bookmarkStart w:id="7" w:name="no8"/>
      <w:bookmarkEnd w:id="7"/>
    </w:p>
    <w:p w14:paraId="40B8069B" w14:textId="77777777" w:rsidR="003032D9" w:rsidRDefault="003032D9" w:rsidP="00DD0B52">
      <w:pPr>
        <w:pStyle w:val="NormalWeb"/>
        <w:numPr>
          <w:ilvl w:val="0"/>
          <w:numId w:val="14"/>
        </w:numPr>
      </w:pPr>
      <w:bookmarkStart w:id="8" w:name="no9"/>
      <w:r w:rsidRPr="003032D9">
        <w:t>Easterlin, R.A. (1975). "An Economic Framework for Fertility Analysis." </w:t>
      </w:r>
      <w:r w:rsidRPr="003032D9">
        <w:rPr>
          <w:i/>
          <w:iCs/>
        </w:rPr>
        <w:t>Studies in Family Planning</w:t>
      </w:r>
      <w:r w:rsidRPr="003032D9">
        <w:t>, vol. 6, no. 3, pp. 54-63. This foundational paper presents an economic perspective on fertility decisions, with implications for understanding fertility trends across different income levels.</w:t>
      </w:r>
    </w:p>
    <w:p w14:paraId="6EE23183" w14:textId="77777777" w:rsidR="003032D9" w:rsidRDefault="003032D9" w:rsidP="00DD0B52">
      <w:pPr>
        <w:pStyle w:val="NormalWeb"/>
        <w:numPr>
          <w:ilvl w:val="0"/>
          <w:numId w:val="14"/>
        </w:numPr>
      </w:pPr>
      <w:bookmarkStart w:id="9" w:name="no10"/>
      <w:bookmarkEnd w:id="8"/>
      <w:r w:rsidRPr="003032D9">
        <w:t>Caldwell, J.C. (1982). </w:t>
      </w:r>
      <w:r w:rsidRPr="003032D9">
        <w:rPr>
          <w:i/>
          <w:iCs/>
        </w:rPr>
        <w:t>Theory of Fertility Decline</w:t>
      </w:r>
      <w:r w:rsidRPr="003032D9">
        <w:t>. Academic Press. Caldwell’s work is instrumental in explaining the social and cultural factors influencing fertility decline, especially in the context of economic development</w:t>
      </w:r>
      <w:r>
        <w:t>.</w:t>
      </w:r>
    </w:p>
    <w:p w14:paraId="76925A2F" w14:textId="77777777" w:rsidR="003032D9" w:rsidRDefault="003032D9" w:rsidP="00DD0B52">
      <w:pPr>
        <w:pStyle w:val="NormalWeb"/>
        <w:numPr>
          <w:ilvl w:val="0"/>
          <w:numId w:val="14"/>
        </w:numPr>
      </w:pPr>
      <w:bookmarkStart w:id="10" w:name="no11"/>
      <w:bookmarkEnd w:id="9"/>
      <w:r w:rsidRPr="003032D9">
        <w:t>Becker, G.S. (1991). </w:t>
      </w:r>
      <w:r w:rsidRPr="003032D9">
        <w:rPr>
          <w:i/>
          <w:iCs/>
        </w:rPr>
        <w:t>A Treatise on the Family</w:t>
      </w:r>
      <w:r w:rsidRPr="003032D9">
        <w:t>. Harvard University Press, 2nd ed. Becker’s work on family economics provides insights into how economic factors influence family size decisions and fertility rates, useful for understanding the relationship between economic growth and fertility.</w:t>
      </w:r>
    </w:p>
    <w:p w14:paraId="679AB6FB" w14:textId="77777777" w:rsidR="00775E09" w:rsidRDefault="00775E09" w:rsidP="00DD0B52">
      <w:pPr>
        <w:pStyle w:val="NormalWeb"/>
        <w:numPr>
          <w:ilvl w:val="0"/>
          <w:numId w:val="14"/>
        </w:numPr>
      </w:pPr>
      <w:bookmarkStart w:id="11" w:name="no12"/>
      <w:bookmarkEnd w:id="10"/>
      <w:r w:rsidRPr="00775E09">
        <w:t>Schultz, T.P. (1997). "Demand for Children in Low Income Countries." In </w:t>
      </w:r>
      <w:r w:rsidRPr="00775E09">
        <w:rPr>
          <w:i/>
          <w:iCs/>
        </w:rPr>
        <w:t>Handbook of Population and Family Economics</w:t>
      </w:r>
      <w:r w:rsidRPr="00775E09">
        <w:t>, vol. 1A, ed. Rosenzweig, M.R., &amp; Stark, O., pp. 349-430. North Holland. Schultz provides an in-depth analysis of fertility demand in low-income settings, addressing how economic variables impact fertility choices.</w:t>
      </w:r>
    </w:p>
    <w:p w14:paraId="356AA967" w14:textId="77777777" w:rsidR="00AD5F0C" w:rsidRDefault="00775E09" w:rsidP="00AD5F0C">
      <w:pPr>
        <w:pStyle w:val="NormalWeb"/>
        <w:numPr>
          <w:ilvl w:val="0"/>
          <w:numId w:val="14"/>
        </w:numPr>
      </w:pPr>
      <w:bookmarkStart w:id="12" w:name="no13"/>
      <w:bookmarkEnd w:id="11"/>
      <w:r>
        <w:t xml:space="preserve"> </w:t>
      </w:r>
      <w:r w:rsidRPr="008F69D2">
        <w:t>Jones, L.E., Schoonbroodt, A., &amp; Tertilt, M. (2008).</w:t>
      </w:r>
      <w:r w:rsidRPr="00775E09">
        <w:t xml:space="preserve"> Fertility theories: Can they explain the negative fertility-income relationship? </w:t>
      </w:r>
      <w:r w:rsidRPr="00775E09">
        <w:rPr>
          <w:i/>
          <w:iCs/>
        </w:rPr>
        <w:t>NBER Working Paper No. 14266</w:t>
      </w:r>
      <w:r w:rsidRPr="00775E09">
        <w:t xml:space="preserve">. </w:t>
      </w:r>
      <w:r w:rsidRPr="00775E09">
        <w:lastRenderedPageBreak/>
        <w:t xml:space="preserve">Available at: </w:t>
      </w:r>
      <w:hyperlink r:id="rId13" w:history="1">
        <w:r w:rsidRPr="002A1F8C">
          <w:rPr>
            <w:rStyle w:val="Hyperlink"/>
          </w:rPr>
          <w:t>https://www.nber.org/papers/w14266</w:t>
        </w:r>
      </w:hyperlink>
      <w:r>
        <w:t xml:space="preserve"> </w:t>
      </w:r>
      <w:r w:rsidRPr="00775E09">
        <w:t>Investigates why fertility rates decline as income increases, using both economic and sociological frameworks.</w:t>
      </w:r>
    </w:p>
    <w:p w14:paraId="57F1B5AC" w14:textId="77777777" w:rsidR="00743EAC" w:rsidRDefault="00AD5F0C" w:rsidP="00743EAC">
      <w:pPr>
        <w:pStyle w:val="NormalWeb"/>
        <w:numPr>
          <w:ilvl w:val="0"/>
          <w:numId w:val="14"/>
        </w:numPr>
      </w:pPr>
      <w:bookmarkStart w:id="13" w:name="no14"/>
      <w:bookmarkEnd w:id="12"/>
      <w:r w:rsidRPr="00AD5F0C">
        <w:t xml:space="preserve">Galor, O., &amp; Weil, D.N. (1996). The gender gap, fertility, and growth. </w:t>
      </w:r>
      <w:r w:rsidRPr="00AD5F0C">
        <w:rPr>
          <w:i/>
          <w:iCs/>
        </w:rPr>
        <w:t>American Economic Review</w:t>
      </w:r>
      <w:r w:rsidRPr="00AD5F0C">
        <w:t>, 86(3), 374-387.</w:t>
      </w:r>
      <w:r>
        <w:t xml:space="preserve"> </w:t>
      </w:r>
      <w:r w:rsidRPr="00AD5F0C">
        <w:t>Analyzes the relationships between fertility, gender roles, and economic growth, providing a gendered perspective on fertility trends.</w:t>
      </w:r>
    </w:p>
    <w:p w14:paraId="6ED37ED8" w14:textId="77777777" w:rsidR="00743EAC" w:rsidRDefault="00743EAC" w:rsidP="00743EAC">
      <w:pPr>
        <w:pStyle w:val="NormalWeb"/>
        <w:numPr>
          <w:ilvl w:val="0"/>
          <w:numId w:val="14"/>
        </w:numPr>
      </w:pPr>
      <w:bookmarkStart w:id="14" w:name="no15"/>
      <w:bookmarkEnd w:id="13"/>
      <w:r w:rsidRPr="00743EAC">
        <w:rPr>
          <w:rStyle w:val="Strong"/>
          <w:b w:val="0"/>
          <w:bCs w:val="0"/>
        </w:rPr>
        <w:t>Kirk, D. (1996).</w:t>
      </w:r>
      <w:r>
        <w:t xml:space="preserve"> Demographic transition theory. </w:t>
      </w:r>
      <w:r w:rsidRPr="00743EAC">
        <w:rPr>
          <w:i/>
          <w:iCs/>
        </w:rPr>
        <w:t>Population Studies</w:t>
      </w:r>
      <w:r>
        <w:t>, 50(3), 361-387. Reviews the demographic transition theory, which is fundamental for understanding shifts in fertility as countries progress economically.</w:t>
      </w:r>
    </w:p>
    <w:bookmarkEnd w:id="14"/>
    <w:p w14:paraId="42B60BDF" w14:textId="77777777" w:rsidR="00743EAC" w:rsidRPr="00AD5F0C" w:rsidRDefault="00743EAC" w:rsidP="00743EAC">
      <w:pPr>
        <w:pStyle w:val="NormalWeb"/>
      </w:pPr>
    </w:p>
    <w:p w14:paraId="5CF236F6" w14:textId="77777777" w:rsidR="00AD5F0C" w:rsidRDefault="00AD5F0C" w:rsidP="00AD5F0C">
      <w:pPr>
        <w:pStyle w:val="NormalWeb"/>
        <w:ind w:left="720"/>
      </w:pPr>
    </w:p>
    <w:p w14:paraId="53336A1C" w14:textId="77777777" w:rsidR="00066593" w:rsidRDefault="00066593" w:rsidP="00DD0B52"/>
    <w:p w14:paraId="767A9FD7" w14:textId="77777777" w:rsidR="007B15B2" w:rsidRPr="007D5E4A" w:rsidRDefault="007B15B2" w:rsidP="00DD0B52"/>
    <w:sectPr w:rsidR="007B15B2" w:rsidRPr="007D5E4A" w:rsidSect="00353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2C8BE" w14:textId="77777777" w:rsidR="006B5666" w:rsidRDefault="006B5666" w:rsidP="00FB1F55">
      <w:r>
        <w:separator/>
      </w:r>
    </w:p>
  </w:endnote>
  <w:endnote w:type="continuationSeparator" w:id="0">
    <w:p w14:paraId="40D6A404" w14:textId="77777777" w:rsidR="006B5666" w:rsidRDefault="006B5666" w:rsidP="00FB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8E1A2" w14:textId="77777777" w:rsidR="006B5666" w:rsidRDefault="006B5666" w:rsidP="00FB1F55">
      <w:r>
        <w:separator/>
      </w:r>
    </w:p>
  </w:footnote>
  <w:footnote w:type="continuationSeparator" w:id="0">
    <w:p w14:paraId="43BE97B8" w14:textId="77777777" w:rsidR="006B5666" w:rsidRDefault="006B5666" w:rsidP="00FB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4C90"/>
    <w:multiLevelType w:val="multilevel"/>
    <w:tmpl w:val="EF62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390E"/>
    <w:multiLevelType w:val="multilevel"/>
    <w:tmpl w:val="2A1CD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575B"/>
    <w:multiLevelType w:val="multilevel"/>
    <w:tmpl w:val="F70A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056A2"/>
    <w:multiLevelType w:val="multilevel"/>
    <w:tmpl w:val="BA7C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052B5"/>
    <w:multiLevelType w:val="multilevel"/>
    <w:tmpl w:val="526A4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45E98"/>
    <w:multiLevelType w:val="multilevel"/>
    <w:tmpl w:val="66E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E4961"/>
    <w:multiLevelType w:val="multilevel"/>
    <w:tmpl w:val="AC14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B14A8"/>
    <w:multiLevelType w:val="multilevel"/>
    <w:tmpl w:val="65A0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77E02"/>
    <w:multiLevelType w:val="multilevel"/>
    <w:tmpl w:val="B37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77094"/>
    <w:multiLevelType w:val="multilevel"/>
    <w:tmpl w:val="680C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AB407D"/>
    <w:multiLevelType w:val="multilevel"/>
    <w:tmpl w:val="925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D14B8"/>
    <w:multiLevelType w:val="multilevel"/>
    <w:tmpl w:val="1794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FC6DB0"/>
    <w:multiLevelType w:val="multilevel"/>
    <w:tmpl w:val="6D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472DB"/>
    <w:multiLevelType w:val="multilevel"/>
    <w:tmpl w:val="2E88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257B0"/>
    <w:multiLevelType w:val="multilevel"/>
    <w:tmpl w:val="97D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C598A"/>
    <w:multiLevelType w:val="multilevel"/>
    <w:tmpl w:val="AD6E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9197A"/>
    <w:multiLevelType w:val="multilevel"/>
    <w:tmpl w:val="08C2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00ABC"/>
    <w:multiLevelType w:val="multilevel"/>
    <w:tmpl w:val="FD5E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800F9"/>
    <w:multiLevelType w:val="multilevel"/>
    <w:tmpl w:val="EC2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B252A"/>
    <w:multiLevelType w:val="multilevel"/>
    <w:tmpl w:val="F12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B1B8F"/>
    <w:multiLevelType w:val="multilevel"/>
    <w:tmpl w:val="F222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918ED"/>
    <w:multiLevelType w:val="multilevel"/>
    <w:tmpl w:val="C01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46C7A"/>
    <w:multiLevelType w:val="hybridMultilevel"/>
    <w:tmpl w:val="909C28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E4B6436"/>
    <w:multiLevelType w:val="multilevel"/>
    <w:tmpl w:val="930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F3286"/>
    <w:multiLevelType w:val="multilevel"/>
    <w:tmpl w:val="1000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C05EC"/>
    <w:multiLevelType w:val="multilevel"/>
    <w:tmpl w:val="F3B05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5622C"/>
    <w:multiLevelType w:val="multilevel"/>
    <w:tmpl w:val="1D3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C1F76"/>
    <w:multiLevelType w:val="multilevel"/>
    <w:tmpl w:val="3DE6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45988"/>
    <w:multiLevelType w:val="multilevel"/>
    <w:tmpl w:val="E0FC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36353"/>
    <w:multiLevelType w:val="hybridMultilevel"/>
    <w:tmpl w:val="DD2ED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7D4034"/>
    <w:multiLevelType w:val="multilevel"/>
    <w:tmpl w:val="BCBA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999970">
    <w:abstractNumId w:val="19"/>
  </w:num>
  <w:num w:numId="2" w16cid:durableId="764764184">
    <w:abstractNumId w:val="1"/>
  </w:num>
  <w:num w:numId="3" w16cid:durableId="234243763">
    <w:abstractNumId w:val="17"/>
  </w:num>
  <w:num w:numId="4" w16cid:durableId="543567528">
    <w:abstractNumId w:val="0"/>
  </w:num>
  <w:num w:numId="5" w16cid:durableId="1696274114">
    <w:abstractNumId w:val="6"/>
  </w:num>
  <w:num w:numId="6" w16cid:durableId="201209557">
    <w:abstractNumId w:val="15"/>
  </w:num>
  <w:num w:numId="7" w16cid:durableId="937062235">
    <w:abstractNumId w:val="7"/>
  </w:num>
  <w:num w:numId="8" w16cid:durableId="422920690">
    <w:abstractNumId w:val="21"/>
  </w:num>
  <w:num w:numId="9" w16cid:durableId="107890904">
    <w:abstractNumId w:val="12"/>
  </w:num>
  <w:num w:numId="10" w16cid:durableId="1274630160">
    <w:abstractNumId w:val="25"/>
  </w:num>
  <w:num w:numId="11" w16cid:durableId="1670864357">
    <w:abstractNumId w:val="29"/>
  </w:num>
  <w:num w:numId="12" w16cid:durableId="409886564">
    <w:abstractNumId w:val="11"/>
  </w:num>
  <w:num w:numId="13" w16cid:durableId="1523665249">
    <w:abstractNumId w:val="27"/>
  </w:num>
  <w:num w:numId="14" w16cid:durableId="895165293">
    <w:abstractNumId w:val="22"/>
  </w:num>
  <w:num w:numId="15" w16cid:durableId="251396958">
    <w:abstractNumId w:val="16"/>
  </w:num>
  <w:num w:numId="16" w16cid:durableId="1588342515">
    <w:abstractNumId w:val="2"/>
  </w:num>
  <w:num w:numId="17" w16cid:durableId="923227250">
    <w:abstractNumId w:val="20"/>
  </w:num>
  <w:num w:numId="18" w16cid:durableId="1622762032">
    <w:abstractNumId w:val="5"/>
  </w:num>
  <w:num w:numId="19" w16cid:durableId="472719822">
    <w:abstractNumId w:val="28"/>
  </w:num>
  <w:num w:numId="20" w16cid:durableId="895506466">
    <w:abstractNumId w:val="18"/>
  </w:num>
  <w:num w:numId="21" w16cid:durableId="1531337743">
    <w:abstractNumId w:val="26"/>
  </w:num>
  <w:num w:numId="22" w16cid:durableId="533157962">
    <w:abstractNumId w:val="13"/>
  </w:num>
  <w:num w:numId="23" w16cid:durableId="650838849">
    <w:abstractNumId w:val="9"/>
  </w:num>
  <w:num w:numId="24" w16cid:durableId="1974094762">
    <w:abstractNumId w:val="30"/>
  </w:num>
  <w:num w:numId="25" w16cid:durableId="1749688336">
    <w:abstractNumId w:val="4"/>
  </w:num>
  <w:num w:numId="26" w16cid:durableId="1880555960">
    <w:abstractNumId w:val="23"/>
  </w:num>
  <w:num w:numId="27" w16cid:durableId="1166283869">
    <w:abstractNumId w:val="10"/>
  </w:num>
  <w:num w:numId="28" w16cid:durableId="1150099152">
    <w:abstractNumId w:val="14"/>
  </w:num>
  <w:num w:numId="29" w16cid:durableId="1080254683">
    <w:abstractNumId w:val="3"/>
  </w:num>
  <w:num w:numId="30" w16cid:durableId="1930657117">
    <w:abstractNumId w:val="8"/>
  </w:num>
  <w:num w:numId="31" w16cid:durableId="17012737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B1"/>
    <w:rsid w:val="00014655"/>
    <w:rsid w:val="00022E49"/>
    <w:rsid w:val="000333C6"/>
    <w:rsid w:val="00050CE8"/>
    <w:rsid w:val="00055BFB"/>
    <w:rsid w:val="000650A8"/>
    <w:rsid w:val="00066593"/>
    <w:rsid w:val="00076DDC"/>
    <w:rsid w:val="0008305C"/>
    <w:rsid w:val="000A00D9"/>
    <w:rsid w:val="000A21D1"/>
    <w:rsid w:val="000A2B77"/>
    <w:rsid w:val="000C7ABA"/>
    <w:rsid w:val="000D1F55"/>
    <w:rsid w:val="000D4CAB"/>
    <w:rsid w:val="000D676D"/>
    <w:rsid w:val="000F15FB"/>
    <w:rsid w:val="001033EC"/>
    <w:rsid w:val="00111828"/>
    <w:rsid w:val="00115415"/>
    <w:rsid w:val="001360AE"/>
    <w:rsid w:val="00152F7C"/>
    <w:rsid w:val="00166B18"/>
    <w:rsid w:val="00174047"/>
    <w:rsid w:val="00187C18"/>
    <w:rsid w:val="001B179D"/>
    <w:rsid w:val="001E0DB1"/>
    <w:rsid w:val="001E33AA"/>
    <w:rsid w:val="00280D64"/>
    <w:rsid w:val="0029528B"/>
    <w:rsid w:val="00295888"/>
    <w:rsid w:val="002A155C"/>
    <w:rsid w:val="002B1E8A"/>
    <w:rsid w:val="002C4E86"/>
    <w:rsid w:val="002F24CE"/>
    <w:rsid w:val="003032D9"/>
    <w:rsid w:val="00303DD6"/>
    <w:rsid w:val="00341D6E"/>
    <w:rsid w:val="00346121"/>
    <w:rsid w:val="00353D19"/>
    <w:rsid w:val="003620F8"/>
    <w:rsid w:val="00362AAF"/>
    <w:rsid w:val="003670DD"/>
    <w:rsid w:val="00384934"/>
    <w:rsid w:val="0039569A"/>
    <w:rsid w:val="004063A3"/>
    <w:rsid w:val="00423F1F"/>
    <w:rsid w:val="00425E7D"/>
    <w:rsid w:val="00446160"/>
    <w:rsid w:val="00464C56"/>
    <w:rsid w:val="00473F1A"/>
    <w:rsid w:val="004B4B13"/>
    <w:rsid w:val="004D0380"/>
    <w:rsid w:val="004E1D4D"/>
    <w:rsid w:val="004E31D8"/>
    <w:rsid w:val="004F3252"/>
    <w:rsid w:val="00506194"/>
    <w:rsid w:val="00521D1B"/>
    <w:rsid w:val="00553058"/>
    <w:rsid w:val="005808F2"/>
    <w:rsid w:val="005E785D"/>
    <w:rsid w:val="005E7ED4"/>
    <w:rsid w:val="005F748F"/>
    <w:rsid w:val="00601DDF"/>
    <w:rsid w:val="00632CA2"/>
    <w:rsid w:val="0064085D"/>
    <w:rsid w:val="00665A8A"/>
    <w:rsid w:val="00680542"/>
    <w:rsid w:val="00680795"/>
    <w:rsid w:val="00681709"/>
    <w:rsid w:val="00693E0A"/>
    <w:rsid w:val="00697EBB"/>
    <w:rsid w:val="006A0D38"/>
    <w:rsid w:val="006A60CF"/>
    <w:rsid w:val="006B5666"/>
    <w:rsid w:val="006C59EA"/>
    <w:rsid w:val="006C6EE4"/>
    <w:rsid w:val="006F11C8"/>
    <w:rsid w:val="006F46F3"/>
    <w:rsid w:val="007012F2"/>
    <w:rsid w:val="00707C4C"/>
    <w:rsid w:val="00710383"/>
    <w:rsid w:val="00743EAC"/>
    <w:rsid w:val="00754B11"/>
    <w:rsid w:val="00775E09"/>
    <w:rsid w:val="00780D79"/>
    <w:rsid w:val="00780F88"/>
    <w:rsid w:val="007A2370"/>
    <w:rsid w:val="007A339A"/>
    <w:rsid w:val="007B15B2"/>
    <w:rsid w:val="007B47EF"/>
    <w:rsid w:val="007C37AF"/>
    <w:rsid w:val="007D1A03"/>
    <w:rsid w:val="007D5E4A"/>
    <w:rsid w:val="007D76CF"/>
    <w:rsid w:val="007E485E"/>
    <w:rsid w:val="008455B9"/>
    <w:rsid w:val="00862506"/>
    <w:rsid w:val="00867021"/>
    <w:rsid w:val="00873987"/>
    <w:rsid w:val="008842AA"/>
    <w:rsid w:val="008B2A87"/>
    <w:rsid w:val="008B71BB"/>
    <w:rsid w:val="008C1EC5"/>
    <w:rsid w:val="008D4599"/>
    <w:rsid w:val="008F69D2"/>
    <w:rsid w:val="00930B9D"/>
    <w:rsid w:val="009325F0"/>
    <w:rsid w:val="00942697"/>
    <w:rsid w:val="00980ECD"/>
    <w:rsid w:val="00991955"/>
    <w:rsid w:val="009D0527"/>
    <w:rsid w:val="009E0708"/>
    <w:rsid w:val="009E6667"/>
    <w:rsid w:val="00A01FC5"/>
    <w:rsid w:val="00A14245"/>
    <w:rsid w:val="00A1633A"/>
    <w:rsid w:val="00A26D09"/>
    <w:rsid w:val="00A5279F"/>
    <w:rsid w:val="00A7206B"/>
    <w:rsid w:val="00A83277"/>
    <w:rsid w:val="00A8764B"/>
    <w:rsid w:val="00AA7708"/>
    <w:rsid w:val="00AC2041"/>
    <w:rsid w:val="00AC3520"/>
    <w:rsid w:val="00AD5F0C"/>
    <w:rsid w:val="00AD7143"/>
    <w:rsid w:val="00AF0D0C"/>
    <w:rsid w:val="00AF1DE2"/>
    <w:rsid w:val="00AF3DD8"/>
    <w:rsid w:val="00B060A5"/>
    <w:rsid w:val="00B44B2E"/>
    <w:rsid w:val="00B47146"/>
    <w:rsid w:val="00B77462"/>
    <w:rsid w:val="00B816CD"/>
    <w:rsid w:val="00B84A43"/>
    <w:rsid w:val="00B86610"/>
    <w:rsid w:val="00BD5FB9"/>
    <w:rsid w:val="00BE0E34"/>
    <w:rsid w:val="00BE2309"/>
    <w:rsid w:val="00BF6972"/>
    <w:rsid w:val="00C25171"/>
    <w:rsid w:val="00C37596"/>
    <w:rsid w:val="00C5211B"/>
    <w:rsid w:val="00C645FC"/>
    <w:rsid w:val="00CA1F55"/>
    <w:rsid w:val="00CB2EB7"/>
    <w:rsid w:val="00CD7DA9"/>
    <w:rsid w:val="00CF3F26"/>
    <w:rsid w:val="00D07320"/>
    <w:rsid w:val="00D16E42"/>
    <w:rsid w:val="00D330B9"/>
    <w:rsid w:val="00D3742B"/>
    <w:rsid w:val="00D375C6"/>
    <w:rsid w:val="00D6009F"/>
    <w:rsid w:val="00D962E5"/>
    <w:rsid w:val="00DB646E"/>
    <w:rsid w:val="00DD0B52"/>
    <w:rsid w:val="00DD1F85"/>
    <w:rsid w:val="00DD66F6"/>
    <w:rsid w:val="00DE04B3"/>
    <w:rsid w:val="00DE512E"/>
    <w:rsid w:val="00DF47AB"/>
    <w:rsid w:val="00DF5A33"/>
    <w:rsid w:val="00E020ED"/>
    <w:rsid w:val="00E32DC5"/>
    <w:rsid w:val="00E44840"/>
    <w:rsid w:val="00E5794D"/>
    <w:rsid w:val="00E60FCE"/>
    <w:rsid w:val="00EA69C6"/>
    <w:rsid w:val="00EA79A7"/>
    <w:rsid w:val="00EB738A"/>
    <w:rsid w:val="00EE0900"/>
    <w:rsid w:val="00EE488F"/>
    <w:rsid w:val="00F013B0"/>
    <w:rsid w:val="00F03387"/>
    <w:rsid w:val="00F158ED"/>
    <w:rsid w:val="00F446EE"/>
    <w:rsid w:val="00F80AD7"/>
    <w:rsid w:val="00F9051C"/>
    <w:rsid w:val="00FA3BC8"/>
    <w:rsid w:val="00FB1F55"/>
    <w:rsid w:val="00FB76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080BF"/>
  <w15:chartTrackingRefBased/>
  <w15:docId w15:val="{4F266209-A3D5-7E4E-98FD-95B5401F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67"/>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CB2E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B2E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B2E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CB2E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B2E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066593"/>
    <w:pPr>
      <w:ind w:left="720"/>
      <w:contextualSpacing/>
    </w:pPr>
  </w:style>
  <w:style w:type="character" w:styleId="Hyperlink">
    <w:name w:val="Hyperlink"/>
    <w:basedOn w:val="DefaultParagraphFont"/>
    <w:uiPriority w:val="99"/>
    <w:unhideWhenUsed/>
    <w:rsid w:val="009E0708"/>
    <w:rPr>
      <w:color w:val="0563C1" w:themeColor="hyperlink"/>
      <w:u w:val="single"/>
    </w:rPr>
  </w:style>
  <w:style w:type="character" w:styleId="UnresolvedMention">
    <w:name w:val="Unresolved Mention"/>
    <w:basedOn w:val="DefaultParagraphFont"/>
    <w:uiPriority w:val="99"/>
    <w:semiHidden/>
    <w:unhideWhenUsed/>
    <w:rsid w:val="009E0708"/>
    <w:rPr>
      <w:color w:val="605E5C"/>
      <w:shd w:val="clear" w:color="auto" w:fill="E1DFDD"/>
    </w:rPr>
  </w:style>
  <w:style w:type="paragraph" w:styleId="Header">
    <w:name w:val="header"/>
    <w:basedOn w:val="Normal"/>
    <w:link w:val="HeaderChar"/>
    <w:uiPriority w:val="99"/>
    <w:unhideWhenUsed/>
    <w:rsid w:val="00FB1F55"/>
    <w:pPr>
      <w:tabs>
        <w:tab w:val="center" w:pos="4513"/>
        <w:tab w:val="right" w:pos="9026"/>
      </w:tabs>
    </w:pPr>
  </w:style>
  <w:style w:type="character" w:customStyle="1" w:styleId="HeaderChar">
    <w:name w:val="Header Char"/>
    <w:basedOn w:val="DefaultParagraphFont"/>
    <w:link w:val="Header"/>
    <w:uiPriority w:val="99"/>
    <w:rsid w:val="00FB1F55"/>
  </w:style>
  <w:style w:type="paragraph" w:styleId="Footer">
    <w:name w:val="footer"/>
    <w:basedOn w:val="Normal"/>
    <w:link w:val="FooterChar"/>
    <w:uiPriority w:val="99"/>
    <w:unhideWhenUsed/>
    <w:rsid w:val="00FB1F55"/>
    <w:pPr>
      <w:tabs>
        <w:tab w:val="center" w:pos="4513"/>
        <w:tab w:val="right" w:pos="9026"/>
      </w:tabs>
    </w:pPr>
  </w:style>
  <w:style w:type="character" w:customStyle="1" w:styleId="FooterChar">
    <w:name w:val="Footer Char"/>
    <w:basedOn w:val="DefaultParagraphFont"/>
    <w:link w:val="Footer"/>
    <w:uiPriority w:val="99"/>
    <w:rsid w:val="00FB1F55"/>
  </w:style>
  <w:style w:type="paragraph" w:styleId="NormalWeb">
    <w:name w:val="Normal (Web)"/>
    <w:basedOn w:val="Normal"/>
    <w:uiPriority w:val="99"/>
    <w:unhideWhenUsed/>
    <w:rsid w:val="00C5211B"/>
    <w:pPr>
      <w:spacing w:before="100" w:beforeAutospacing="1" w:after="100" w:afterAutospacing="1"/>
    </w:pPr>
    <w:rPr>
      <w:lang w:eastAsia="en-IN"/>
    </w:rPr>
  </w:style>
  <w:style w:type="character" w:styleId="Emphasis">
    <w:name w:val="Emphasis"/>
    <w:basedOn w:val="DefaultParagraphFont"/>
    <w:uiPriority w:val="20"/>
    <w:qFormat/>
    <w:rsid w:val="00C5211B"/>
    <w:rPr>
      <w:i/>
      <w:iCs/>
    </w:rPr>
  </w:style>
  <w:style w:type="character" w:styleId="Strong">
    <w:name w:val="Strong"/>
    <w:basedOn w:val="DefaultParagraphFont"/>
    <w:uiPriority w:val="22"/>
    <w:qFormat/>
    <w:rsid w:val="00E60FCE"/>
    <w:rPr>
      <w:b/>
      <w:bCs/>
    </w:rPr>
  </w:style>
  <w:style w:type="table" w:styleId="TableGrid">
    <w:name w:val="Table Grid"/>
    <w:basedOn w:val="TableNormal"/>
    <w:uiPriority w:val="39"/>
    <w:rsid w:val="00E6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E6667"/>
  </w:style>
  <w:style w:type="character" w:styleId="FollowedHyperlink">
    <w:name w:val="FollowedHyperlink"/>
    <w:basedOn w:val="DefaultParagraphFont"/>
    <w:uiPriority w:val="99"/>
    <w:semiHidden/>
    <w:unhideWhenUsed/>
    <w:rsid w:val="00AF1D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570">
      <w:bodyDiv w:val="1"/>
      <w:marLeft w:val="0"/>
      <w:marRight w:val="0"/>
      <w:marTop w:val="0"/>
      <w:marBottom w:val="0"/>
      <w:divBdr>
        <w:top w:val="none" w:sz="0" w:space="0" w:color="auto"/>
        <w:left w:val="none" w:sz="0" w:space="0" w:color="auto"/>
        <w:bottom w:val="none" w:sz="0" w:space="0" w:color="auto"/>
        <w:right w:val="none" w:sz="0" w:space="0" w:color="auto"/>
      </w:divBdr>
      <w:divsChild>
        <w:div w:id="912661549">
          <w:marLeft w:val="0"/>
          <w:marRight w:val="0"/>
          <w:marTop w:val="0"/>
          <w:marBottom w:val="0"/>
          <w:divBdr>
            <w:top w:val="none" w:sz="0" w:space="0" w:color="auto"/>
            <w:left w:val="none" w:sz="0" w:space="0" w:color="auto"/>
            <w:bottom w:val="none" w:sz="0" w:space="0" w:color="auto"/>
            <w:right w:val="none" w:sz="0" w:space="0" w:color="auto"/>
          </w:divBdr>
          <w:divsChild>
            <w:div w:id="814831810">
              <w:marLeft w:val="0"/>
              <w:marRight w:val="0"/>
              <w:marTop w:val="0"/>
              <w:marBottom w:val="0"/>
              <w:divBdr>
                <w:top w:val="none" w:sz="0" w:space="0" w:color="auto"/>
                <w:left w:val="none" w:sz="0" w:space="0" w:color="auto"/>
                <w:bottom w:val="none" w:sz="0" w:space="0" w:color="auto"/>
                <w:right w:val="none" w:sz="0" w:space="0" w:color="auto"/>
              </w:divBdr>
              <w:divsChild>
                <w:div w:id="2128232330">
                  <w:marLeft w:val="0"/>
                  <w:marRight w:val="0"/>
                  <w:marTop w:val="0"/>
                  <w:marBottom w:val="0"/>
                  <w:divBdr>
                    <w:top w:val="none" w:sz="0" w:space="0" w:color="auto"/>
                    <w:left w:val="none" w:sz="0" w:space="0" w:color="auto"/>
                    <w:bottom w:val="none" w:sz="0" w:space="0" w:color="auto"/>
                    <w:right w:val="none" w:sz="0" w:space="0" w:color="auto"/>
                  </w:divBdr>
                  <w:divsChild>
                    <w:div w:id="307324878">
                      <w:marLeft w:val="0"/>
                      <w:marRight w:val="0"/>
                      <w:marTop w:val="0"/>
                      <w:marBottom w:val="0"/>
                      <w:divBdr>
                        <w:top w:val="none" w:sz="0" w:space="0" w:color="auto"/>
                        <w:left w:val="none" w:sz="0" w:space="0" w:color="auto"/>
                        <w:bottom w:val="none" w:sz="0" w:space="0" w:color="auto"/>
                        <w:right w:val="none" w:sz="0" w:space="0" w:color="auto"/>
                      </w:divBdr>
                      <w:divsChild>
                        <w:div w:id="652952494">
                          <w:marLeft w:val="0"/>
                          <w:marRight w:val="0"/>
                          <w:marTop w:val="0"/>
                          <w:marBottom w:val="0"/>
                          <w:divBdr>
                            <w:top w:val="none" w:sz="0" w:space="0" w:color="auto"/>
                            <w:left w:val="none" w:sz="0" w:space="0" w:color="auto"/>
                            <w:bottom w:val="none" w:sz="0" w:space="0" w:color="auto"/>
                            <w:right w:val="none" w:sz="0" w:space="0" w:color="auto"/>
                          </w:divBdr>
                          <w:divsChild>
                            <w:div w:id="18027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929">
      <w:bodyDiv w:val="1"/>
      <w:marLeft w:val="0"/>
      <w:marRight w:val="0"/>
      <w:marTop w:val="0"/>
      <w:marBottom w:val="0"/>
      <w:divBdr>
        <w:top w:val="none" w:sz="0" w:space="0" w:color="auto"/>
        <w:left w:val="none" w:sz="0" w:space="0" w:color="auto"/>
        <w:bottom w:val="none" w:sz="0" w:space="0" w:color="auto"/>
        <w:right w:val="none" w:sz="0" w:space="0" w:color="auto"/>
      </w:divBdr>
    </w:div>
    <w:div w:id="31466444">
      <w:bodyDiv w:val="1"/>
      <w:marLeft w:val="0"/>
      <w:marRight w:val="0"/>
      <w:marTop w:val="0"/>
      <w:marBottom w:val="0"/>
      <w:divBdr>
        <w:top w:val="none" w:sz="0" w:space="0" w:color="auto"/>
        <w:left w:val="none" w:sz="0" w:space="0" w:color="auto"/>
        <w:bottom w:val="none" w:sz="0" w:space="0" w:color="auto"/>
        <w:right w:val="none" w:sz="0" w:space="0" w:color="auto"/>
      </w:divBdr>
    </w:div>
    <w:div w:id="33963663">
      <w:bodyDiv w:val="1"/>
      <w:marLeft w:val="0"/>
      <w:marRight w:val="0"/>
      <w:marTop w:val="0"/>
      <w:marBottom w:val="0"/>
      <w:divBdr>
        <w:top w:val="none" w:sz="0" w:space="0" w:color="auto"/>
        <w:left w:val="none" w:sz="0" w:space="0" w:color="auto"/>
        <w:bottom w:val="none" w:sz="0" w:space="0" w:color="auto"/>
        <w:right w:val="none" w:sz="0" w:space="0" w:color="auto"/>
      </w:divBdr>
    </w:div>
    <w:div w:id="59908163">
      <w:bodyDiv w:val="1"/>
      <w:marLeft w:val="0"/>
      <w:marRight w:val="0"/>
      <w:marTop w:val="0"/>
      <w:marBottom w:val="0"/>
      <w:divBdr>
        <w:top w:val="none" w:sz="0" w:space="0" w:color="auto"/>
        <w:left w:val="none" w:sz="0" w:space="0" w:color="auto"/>
        <w:bottom w:val="none" w:sz="0" w:space="0" w:color="auto"/>
        <w:right w:val="none" w:sz="0" w:space="0" w:color="auto"/>
      </w:divBdr>
    </w:div>
    <w:div w:id="98792434">
      <w:bodyDiv w:val="1"/>
      <w:marLeft w:val="0"/>
      <w:marRight w:val="0"/>
      <w:marTop w:val="0"/>
      <w:marBottom w:val="0"/>
      <w:divBdr>
        <w:top w:val="none" w:sz="0" w:space="0" w:color="auto"/>
        <w:left w:val="none" w:sz="0" w:space="0" w:color="auto"/>
        <w:bottom w:val="none" w:sz="0" w:space="0" w:color="auto"/>
        <w:right w:val="none" w:sz="0" w:space="0" w:color="auto"/>
      </w:divBdr>
    </w:div>
    <w:div w:id="123813134">
      <w:bodyDiv w:val="1"/>
      <w:marLeft w:val="0"/>
      <w:marRight w:val="0"/>
      <w:marTop w:val="0"/>
      <w:marBottom w:val="0"/>
      <w:divBdr>
        <w:top w:val="none" w:sz="0" w:space="0" w:color="auto"/>
        <w:left w:val="none" w:sz="0" w:space="0" w:color="auto"/>
        <w:bottom w:val="none" w:sz="0" w:space="0" w:color="auto"/>
        <w:right w:val="none" w:sz="0" w:space="0" w:color="auto"/>
      </w:divBdr>
    </w:div>
    <w:div w:id="126708726">
      <w:bodyDiv w:val="1"/>
      <w:marLeft w:val="0"/>
      <w:marRight w:val="0"/>
      <w:marTop w:val="0"/>
      <w:marBottom w:val="0"/>
      <w:divBdr>
        <w:top w:val="none" w:sz="0" w:space="0" w:color="auto"/>
        <w:left w:val="none" w:sz="0" w:space="0" w:color="auto"/>
        <w:bottom w:val="none" w:sz="0" w:space="0" w:color="auto"/>
        <w:right w:val="none" w:sz="0" w:space="0" w:color="auto"/>
      </w:divBdr>
    </w:div>
    <w:div w:id="137458079">
      <w:bodyDiv w:val="1"/>
      <w:marLeft w:val="0"/>
      <w:marRight w:val="0"/>
      <w:marTop w:val="0"/>
      <w:marBottom w:val="0"/>
      <w:divBdr>
        <w:top w:val="none" w:sz="0" w:space="0" w:color="auto"/>
        <w:left w:val="none" w:sz="0" w:space="0" w:color="auto"/>
        <w:bottom w:val="none" w:sz="0" w:space="0" w:color="auto"/>
        <w:right w:val="none" w:sz="0" w:space="0" w:color="auto"/>
      </w:divBdr>
    </w:div>
    <w:div w:id="151650853">
      <w:bodyDiv w:val="1"/>
      <w:marLeft w:val="0"/>
      <w:marRight w:val="0"/>
      <w:marTop w:val="0"/>
      <w:marBottom w:val="0"/>
      <w:divBdr>
        <w:top w:val="none" w:sz="0" w:space="0" w:color="auto"/>
        <w:left w:val="none" w:sz="0" w:space="0" w:color="auto"/>
        <w:bottom w:val="none" w:sz="0" w:space="0" w:color="auto"/>
        <w:right w:val="none" w:sz="0" w:space="0" w:color="auto"/>
      </w:divBdr>
    </w:div>
    <w:div w:id="155536378">
      <w:bodyDiv w:val="1"/>
      <w:marLeft w:val="0"/>
      <w:marRight w:val="0"/>
      <w:marTop w:val="0"/>
      <w:marBottom w:val="0"/>
      <w:divBdr>
        <w:top w:val="none" w:sz="0" w:space="0" w:color="auto"/>
        <w:left w:val="none" w:sz="0" w:space="0" w:color="auto"/>
        <w:bottom w:val="none" w:sz="0" w:space="0" w:color="auto"/>
        <w:right w:val="none" w:sz="0" w:space="0" w:color="auto"/>
      </w:divBdr>
    </w:div>
    <w:div w:id="223880994">
      <w:bodyDiv w:val="1"/>
      <w:marLeft w:val="0"/>
      <w:marRight w:val="0"/>
      <w:marTop w:val="0"/>
      <w:marBottom w:val="0"/>
      <w:divBdr>
        <w:top w:val="none" w:sz="0" w:space="0" w:color="auto"/>
        <w:left w:val="none" w:sz="0" w:space="0" w:color="auto"/>
        <w:bottom w:val="none" w:sz="0" w:space="0" w:color="auto"/>
        <w:right w:val="none" w:sz="0" w:space="0" w:color="auto"/>
      </w:divBdr>
      <w:divsChild>
        <w:div w:id="1188758435">
          <w:marLeft w:val="0"/>
          <w:marRight w:val="0"/>
          <w:marTop w:val="0"/>
          <w:marBottom w:val="0"/>
          <w:divBdr>
            <w:top w:val="none" w:sz="0" w:space="0" w:color="auto"/>
            <w:left w:val="none" w:sz="0" w:space="0" w:color="auto"/>
            <w:bottom w:val="none" w:sz="0" w:space="0" w:color="auto"/>
            <w:right w:val="none" w:sz="0" w:space="0" w:color="auto"/>
          </w:divBdr>
          <w:divsChild>
            <w:div w:id="352146420">
              <w:marLeft w:val="0"/>
              <w:marRight w:val="0"/>
              <w:marTop w:val="0"/>
              <w:marBottom w:val="0"/>
              <w:divBdr>
                <w:top w:val="none" w:sz="0" w:space="0" w:color="auto"/>
                <w:left w:val="none" w:sz="0" w:space="0" w:color="auto"/>
                <w:bottom w:val="none" w:sz="0" w:space="0" w:color="auto"/>
                <w:right w:val="none" w:sz="0" w:space="0" w:color="auto"/>
              </w:divBdr>
              <w:divsChild>
                <w:div w:id="573396345">
                  <w:marLeft w:val="0"/>
                  <w:marRight w:val="0"/>
                  <w:marTop w:val="0"/>
                  <w:marBottom w:val="0"/>
                  <w:divBdr>
                    <w:top w:val="none" w:sz="0" w:space="0" w:color="auto"/>
                    <w:left w:val="none" w:sz="0" w:space="0" w:color="auto"/>
                    <w:bottom w:val="none" w:sz="0" w:space="0" w:color="auto"/>
                    <w:right w:val="none" w:sz="0" w:space="0" w:color="auto"/>
                  </w:divBdr>
                  <w:divsChild>
                    <w:div w:id="20610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49398">
      <w:bodyDiv w:val="1"/>
      <w:marLeft w:val="0"/>
      <w:marRight w:val="0"/>
      <w:marTop w:val="0"/>
      <w:marBottom w:val="0"/>
      <w:divBdr>
        <w:top w:val="none" w:sz="0" w:space="0" w:color="auto"/>
        <w:left w:val="none" w:sz="0" w:space="0" w:color="auto"/>
        <w:bottom w:val="none" w:sz="0" w:space="0" w:color="auto"/>
        <w:right w:val="none" w:sz="0" w:space="0" w:color="auto"/>
      </w:divBdr>
    </w:div>
    <w:div w:id="242105962">
      <w:bodyDiv w:val="1"/>
      <w:marLeft w:val="0"/>
      <w:marRight w:val="0"/>
      <w:marTop w:val="0"/>
      <w:marBottom w:val="0"/>
      <w:divBdr>
        <w:top w:val="none" w:sz="0" w:space="0" w:color="auto"/>
        <w:left w:val="none" w:sz="0" w:space="0" w:color="auto"/>
        <w:bottom w:val="none" w:sz="0" w:space="0" w:color="auto"/>
        <w:right w:val="none" w:sz="0" w:space="0" w:color="auto"/>
      </w:divBdr>
    </w:div>
    <w:div w:id="270209960">
      <w:bodyDiv w:val="1"/>
      <w:marLeft w:val="0"/>
      <w:marRight w:val="0"/>
      <w:marTop w:val="0"/>
      <w:marBottom w:val="0"/>
      <w:divBdr>
        <w:top w:val="none" w:sz="0" w:space="0" w:color="auto"/>
        <w:left w:val="none" w:sz="0" w:space="0" w:color="auto"/>
        <w:bottom w:val="none" w:sz="0" w:space="0" w:color="auto"/>
        <w:right w:val="none" w:sz="0" w:space="0" w:color="auto"/>
      </w:divBdr>
      <w:divsChild>
        <w:div w:id="932974226">
          <w:marLeft w:val="0"/>
          <w:marRight w:val="0"/>
          <w:marTop w:val="0"/>
          <w:marBottom w:val="0"/>
          <w:divBdr>
            <w:top w:val="none" w:sz="0" w:space="0" w:color="auto"/>
            <w:left w:val="none" w:sz="0" w:space="0" w:color="auto"/>
            <w:bottom w:val="none" w:sz="0" w:space="0" w:color="auto"/>
            <w:right w:val="none" w:sz="0" w:space="0" w:color="auto"/>
          </w:divBdr>
          <w:divsChild>
            <w:div w:id="1694960732">
              <w:marLeft w:val="0"/>
              <w:marRight w:val="0"/>
              <w:marTop w:val="0"/>
              <w:marBottom w:val="0"/>
              <w:divBdr>
                <w:top w:val="none" w:sz="0" w:space="0" w:color="auto"/>
                <w:left w:val="none" w:sz="0" w:space="0" w:color="auto"/>
                <w:bottom w:val="none" w:sz="0" w:space="0" w:color="auto"/>
                <w:right w:val="none" w:sz="0" w:space="0" w:color="auto"/>
              </w:divBdr>
              <w:divsChild>
                <w:div w:id="68503916">
                  <w:marLeft w:val="0"/>
                  <w:marRight w:val="0"/>
                  <w:marTop w:val="0"/>
                  <w:marBottom w:val="0"/>
                  <w:divBdr>
                    <w:top w:val="none" w:sz="0" w:space="0" w:color="auto"/>
                    <w:left w:val="none" w:sz="0" w:space="0" w:color="auto"/>
                    <w:bottom w:val="none" w:sz="0" w:space="0" w:color="auto"/>
                    <w:right w:val="none" w:sz="0" w:space="0" w:color="auto"/>
                  </w:divBdr>
                  <w:divsChild>
                    <w:div w:id="1143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0249">
      <w:bodyDiv w:val="1"/>
      <w:marLeft w:val="0"/>
      <w:marRight w:val="0"/>
      <w:marTop w:val="0"/>
      <w:marBottom w:val="0"/>
      <w:divBdr>
        <w:top w:val="none" w:sz="0" w:space="0" w:color="auto"/>
        <w:left w:val="none" w:sz="0" w:space="0" w:color="auto"/>
        <w:bottom w:val="none" w:sz="0" w:space="0" w:color="auto"/>
        <w:right w:val="none" w:sz="0" w:space="0" w:color="auto"/>
      </w:divBdr>
      <w:divsChild>
        <w:div w:id="762528369">
          <w:marLeft w:val="0"/>
          <w:marRight w:val="0"/>
          <w:marTop w:val="0"/>
          <w:marBottom w:val="0"/>
          <w:divBdr>
            <w:top w:val="none" w:sz="0" w:space="0" w:color="auto"/>
            <w:left w:val="none" w:sz="0" w:space="0" w:color="auto"/>
            <w:bottom w:val="none" w:sz="0" w:space="0" w:color="auto"/>
            <w:right w:val="none" w:sz="0" w:space="0" w:color="auto"/>
          </w:divBdr>
          <w:divsChild>
            <w:div w:id="976380372">
              <w:marLeft w:val="0"/>
              <w:marRight w:val="0"/>
              <w:marTop w:val="0"/>
              <w:marBottom w:val="0"/>
              <w:divBdr>
                <w:top w:val="none" w:sz="0" w:space="0" w:color="auto"/>
                <w:left w:val="none" w:sz="0" w:space="0" w:color="auto"/>
                <w:bottom w:val="none" w:sz="0" w:space="0" w:color="auto"/>
                <w:right w:val="none" w:sz="0" w:space="0" w:color="auto"/>
              </w:divBdr>
              <w:divsChild>
                <w:div w:id="1695110929">
                  <w:marLeft w:val="0"/>
                  <w:marRight w:val="0"/>
                  <w:marTop w:val="0"/>
                  <w:marBottom w:val="0"/>
                  <w:divBdr>
                    <w:top w:val="none" w:sz="0" w:space="0" w:color="auto"/>
                    <w:left w:val="none" w:sz="0" w:space="0" w:color="auto"/>
                    <w:bottom w:val="none" w:sz="0" w:space="0" w:color="auto"/>
                    <w:right w:val="none" w:sz="0" w:space="0" w:color="auto"/>
                  </w:divBdr>
                  <w:divsChild>
                    <w:div w:id="16099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7862">
      <w:bodyDiv w:val="1"/>
      <w:marLeft w:val="0"/>
      <w:marRight w:val="0"/>
      <w:marTop w:val="0"/>
      <w:marBottom w:val="0"/>
      <w:divBdr>
        <w:top w:val="none" w:sz="0" w:space="0" w:color="auto"/>
        <w:left w:val="none" w:sz="0" w:space="0" w:color="auto"/>
        <w:bottom w:val="none" w:sz="0" w:space="0" w:color="auto"/>
        <w:right w:val="none" w:sz="0" w:space="0" w:color="auto"/>
      </w:divBdr>
    </w:div>
    <w:div w:id="379137163">
      <w:bodyDiv w:val="1"/>
      <w:marLeft w:val="0"/>
      <w:marRight w:val="0"/>
      <w:marTop w:val="0"/>
      <w:marBottom w:val="0"/>
      <w:divBdr>
        <w:top w:val="none" w:sz="0" w:space="0" w:color="auto"/>
        <w:left w:val="none" w:sz="0" w:space="0" w:color="auto"/>
        <w:bottom w:val="none" w:sz="0" w:space="0" w:color="auto"/>
        <w:right w:val="none" w:sz="0" w:space="0" w:color="auto"/>
      </w:divBdr>
    </w:div>
    <w:div w:id="389230303">
      <w:bodyDiv w:val="1"/>
      <w:marLeft w:val="0"/>
      <w:marRight w:val="0"/>
      <w:marTop w:val="0"/>
      <w:marBottom w:val="0"/>
      <w:divBdr>
        <w:top w:val="none" w:sz="0" w:space="0" w:color="auto"/>
        <w:left w:val="none" w:sz="0" w:space="0" w:color="auto"/>
        <w:bottom w:val="none" w:sz="0" w:space="0" w:color="auto"/>
        <w:right w:val="none" w:sz="0" w:space="0" w:color="auto"/>
      </w:divBdr>
    </w:div>
    <w:div w:id="391854412">
      <w:bodyDiv w:val="1"/>
      <w:marLeft w:val="0"/>
      <w:marRight w:val="0"/>
      <w:marTop w:val="0"/>
      <w:marBottom w:val="0"/>
      <w:divBdr>
        <w:top w:val="none" w:sz="0" w:space="0" w:color="auto"/>
        <w:left w:val="none" w:sz="0" w:space="0" w:color="auto"/>
        <w:bottom w:val="none" w:sz="0" w:space="0" w:color="auto"/>
        <w:right w:val="none" w:sz="0" w:space="0" w:color="auto"/>
      </w:divBdr>
    </w:div>
    <w:div w:id="408235255">
      <w:bodyDiv w:val="1"/>
      <w:marLeft w:val="0"/>
      <w:marRight w:val="0"/>
      <w:marTop w:val="0"/>
      <w:marBottom w:val="0"/>
      <w:divBdr>
        <w:top w:val="none" w:sz="0" w:space="0" w:color="auto"/>
        <w:left w:val="none" w:sz="0" w:space="0" w:color="auto"/>
        <w:bottom w:val="none" w:sz="0" w:space="0" w:color="auto"/>
        <w:right w:val="none" w:sz="0" w:space="0" w:color="auto"/>
      </w:divBdr>
    </w:div>
    <w:div w:id="422460256">
      <w:bodyDiv w:val="1"/>
      <w:marLeft w:val="0"/>
      <w:marRight w:val="0"/>
      <w:marTop w:val="0"/>
      <w:marBottom w:val="0"/>
      <w:divBdr>
        <w:top w:val="none" w:sz="0" w:space="0" w:color="auto"/>
        <w:left w:val="none" w:sz="0" w:space="0" w:color="auto"/>
        <w:bottom w:val="none" w:sz="0" w:space="0" w:color="auto"/>
        <w:right w:val="none" w:sz="0" w:space="0" w:color="auto"/>
      </w:divBdr>
    </w:div>
    <w:div w:id="446003753">
      <w:bodyDiv w:val="1"/>
      <w:marLeft w:val="0"/>
      <w:marRight w:val="0"/>
      <w:marTop w:val="0"/>
      <w:marBottom w:val="0"/>
      <w:divBdr>
        <w:top w:val="none" w:sz="0" w:space="0" w:color="auto"/>
        <w:left w:val="none" w:sz="0" w:space="0" w:color="auto"/>
        <w:bottom w:val="none" w:sz="0" w:space="0" w:color="auto"/>
        <w:right w:val="none" w:sz="0" w:space="0" w:color="auto"/>
      </w:divBdr>
    </w:div>
    <w:div w:id="468790856">
      <w:bodyDiv w:val="1"/>
      <w:marLeft w:val="0"/>
      <w:marRight w:val="0"/>
      <w:marTop w:val="0"/>
      <w:marBottom w:val="0"/>
      <w:divBdr>
        <w:top w:val="none" w:sz="0" w:space="0" w:color="auto"/>
        <w:left w:val="none" w:sz="0" w:space="0" w:color="auto"/>
        <w:bottom w:val="none" w:sz="0" w:space="0" w:color="auto"/>
        <w:right w:val="none" w:sz="0" w:space="0" w:color="auto"/>
      </w:divBdr>
    </w:div>
    <w:div w:id="501091118">
      <w:bodyDiv w:val="1"/>
      <w:marLeft w:val="0"/>
      <w:marRight w:val="0"/>
      <w:marTop w:val="0"/>
      <w:marBottom w:val="0"/>
      <w:divBdr>
        <w:top w:val="none" w:sz="0" w:space="0" w:color="auto"/>
        <w:left w:val="none" w:sz="0" w:space="0" w:color="auto"/>
        <w:bottom w:val="none" w:sz="0" w:space="0" w:color="auto"/>
        <w:right w:val="none" w:sz="0" w:space="0" w:color="auto"/>
      </w:divBdr>
    </w:div>
    <w:div w:id="526796371">
      <w:bodyDiv w:val="1"/>
      <w:marLeft w:val="0"/>
      <w:marRight w:val="0"/>
      <w:marTop w:val="0"/>
      <w:marBottom w:val="0"/>
      <w:divBdr>
        <w:top w:val="none" w:sz="0" w:space="0" w:color="auto"/>
        <w:left w:val="none" w:sz="0" w:space="0" w:color="auto"/>
        <w:bottom w:val="none" w:sz="0" w:space="0" w:color="auto"/>
        <w:right w:val="none" w:sz="0" w:space="0" w:color="auto"/>
      </w:divBdr>
    </w:div>
    <w:div w:id="528572622">
      <w:bodyDiv w:val="1"/>
      <w:marLeft w:val="0"/>
      <w:marRight w:val="0"/>
      <w:marTop w:val="0"/>
      <w:marBottom w:val="0"/>
      <w:divBdr>
        <w:top w:val="none" w:sz="0" w:space="0" w:color="auto"/>
        <w:left w:val="none" w:sz="0" w:space="0" w:color="auto"/>
        <w:bottom w:val="none" w:sz="0" w:space="0" w:color="auto"/>
        <w:right w:val="none" w:sz="0" w:space="0" w:color="auto"/>
      </w:divBdr>
    </w:div>
    <w:div w:id="534659814">
      <w:bodyDiv w:val="1"/>
      <w:marLeft w:val="0"/>
      <w:marRight w:val="0"/>
      <w:marTop w:val="0"/>
      <w:marBottom w:val="0"/>
      <w:divBdr>
        <w:top w:val="none" w:sz="0" w:space="0" w:color="auto"/>
        <w:left w:val="none" w:sz="0" w:space="0" w:color="auto"/>
        <w:bottom w:val="none" w:sz="0" w:space="0" w:color="auto"/>
        <w:right w:val="none" w:sz="0" w:space="0" w:color="auto"/>
      </w:divBdr>
    </w:div>
    <w:div w:id="536771590">
      <w:bodyDiv w:val="1"/>
      <w:marLeft w:val="0"/>
      <w:marRight w:val="0"/>
      <w:marTop w:val="0"/>
      <w:marBottom w:val="0"/>
      <w:divBdr>
        <w:top w:val="none" w:sz="0" w:space="0" w:color="auto"/>
        <w:left w:val="none" w:sz="0" w:space="0" w:color="auto"/>
        <w:bottom w:val="none" w:sz="0" w:space="0" w:color="auto"/>
        <w:right w:val="none" w:sz="0" w:space="0" w:color="auto"/>
      </w:divBdr>
    </w:div>
    <w:div w:id="559827860">
      <w:bodyDiv w:val="1"/>
      <w:marLeft w:val="0"/>
      <w:marRight w:val="0"/>
      <w:marTop w:val="0"/>
      <w:marBottom w:val="0"/>
      <w:divBdr>
        <w:top w:val="none" w:sz="0" w:space="0" w:color="auto"/>
        <w:left w:val="none" w:sz="0" w:space="0" w:color="auto"/>
        <w:bottom w:val="none" w:sz="0" w:space="0" w:color="auto"/>
        <w:right w:val="none" w:sz="0" w:space="0" w:color="auto"/>
      </w:divBdr>
    </w:div>
    <w:div w:id="568031361">
      <w:bodyDiv w:val="1"/>
      <w:marLeft w:val="0"/>
      <w:marRight w:val="0"/>
      <w:marTop w:val="0"/>
      <w:marBottom w:val="0"/>
      <w:divBdr>
        <w:top w:val="none" w:sz="0" w:space="0" w:color="auto"/>
        <w:left w:val="none" w:sz="0" w:space="0" w:color="auto"/>
        <w:bottom w:val="none" w:sz="0" w:space="0" w:color="auto"/>
        <w:right w:val="none" w:sz="0" w:space="0" w:color="auto"/>
      </w:divBdr>
      <w:divsChild>
        <w:div w:id="61174090">
          <w:marLeft w:val="0"/>
          <w:marRight w:val="0"/>
          <w:marTop w:val="0"/>
          <w:marBottom w:val="0"/>
          <w:divBdr>
            <w:top w:val="none" w:sz="0" w:space="0" w:color="auto"/>
            <w:left w:val="none" w:sz="0" w:space="0" w:color="auto"/>
            <w:bottom w:val="none" w:sz="0" w:space="0" w:color="auto"/>
            <w:right w:val="none" w:sz="0" w:space="0" w:color="auto"/>
          </w:divBdr>
          <w:divsChild>
            <w:div w:id="1853717509">
              <w:marLeft w:val="0"/>
              <w:marRight w:val="0"/>
              <w:marTop w:val="0"/>
              <w:marBottom w:val="0"/>
              <w:divBdr>
                <w:top w:val="none" w:sz="0" w:space="0" w:color="auto"/>
                <w:left w:val="none" w:sz="0" w:space="0" w:color="auto"/>
                <w:bottom w:val="none" w:sz="0" w:space="0" w:color="auto"/>
                <w:right w:val="none" w:sz="0" w:space="0" w:color="auto"/>
              </w:divBdr>
              <w:divsChild>
                <w:div w:id="21634576">
                  <w:marLeft w:val="0"/>
                  <w:marRight w:val="0"/>
                  <w:marTop w:val="0"/>
                  <w:marBottom w:val="0"/>
                  <w:divBdr>
                    <w:top w:val="none" w:sz="0" w:space="0" w:color="auto"/>
                    <w:left w:val="none" w:sz="0" w:space="0" w:color="auto"/>
                    <w:bottom w:val="none" w:sz="0" w:space="0" w:color="auto"/>
                    <w:right w:val="none" w:sz="0" w:space="0" w:color="auto"/>
                  </w:divBdr>
                  <w:divsChild>
                    <w:div w:id="16798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4219">
          <w:marLeft w:val="0"/>
          <w:marRight w:val="0"/>
          <w:marTop w:val="0"/>
          <w:marBottom w:val="0"/>
          <w:divBdr>
            <w:top w:val="none" w:sz="0" w:space="0" w:color="auto"/>
            <w:left w:val="none" w:sz="0" w:space="0" w:color="auto"/>
            <w:bottom w:val="none" w:sz="0" w:space="0" w:color="auto"/>
            <w:right w:val="none" w:sz="0" w:space="0" w:color="auto"/>
          </w:divBdr>
          <w:divsChild>
            <w:div w:id="422802243">
              <w:marLeft w:val="0"/>
              <w:marRight w:val="0"/>
              <w:marTop w:val="0"/>
              <w:marBottom w:val="0"/>
              <w:divBdr>
                <w:top w:val="none" w:sz="0" w:space="0" w:color="auto"/>
                <w:left w:val="none" w:sz="0" w:space="0" w:color="auto"/>
                <w:bottom w:val="none" w:sz="0" w:space="0" w:color="auto"/>
                <w:right w:val="none" w:sz="0" w:space="0" w:color="auto"/>
              </w:divBdr>
              <w:divsChild>
                <w:div w:id="960380176">
                  <w:marLeft w:val="0"/>
                  <w:marRight w:val="0"/>
                  <w:marTop w:val="0"/>
                  <w:marBottom w:val="0"/>
                  <w:divBdr>
                    <w:top w:val="none" w:sz="0" w:space="0" w:color="auto"/>
                    <w:left w:val="none" w:sz="0" w:space="0" w:color="auto"/>
                    <w:bottom w:val="none" w:sz="0" w:space="0" w:color="auto"/>
                    <w:right w:val="none" w:sz="0" w:space="0" w:color="auto"/>
                  </w:divBdr>
                  <w:divsChild>
                    <w:div w:id="13565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86076">
      <w:bodyDiv w:val="1"/>
      <w:marLeft w:val="0"/>
      <w:marRight w:val="0"/>
      <w:marTop w:val="0"/>
      <w:marBottom w:val="0"/>
      <w:divBdr>
        <w:top w:val="none" w:sz="0" w:space="0" w:color="auto"/>
        <w:left w:val="none" w:sz="0" w:space="0" w:color="auto"/>
        <w:bottom w:val="none" w:sz="0" w:space="0" w:color="auto"/>
        <w:right w:val="none" w:sz="0" w:space="0" w:color="auto"/>
      </w:divBdr>
    </w:div>
    <w:div w:id="585892177">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3439167">
      <w:bodyDiv w:val="1"/>
      <w:marLeft w:val="0"/>
      <w:marRight w:val="0"/>
      <w:marTop w:val="0"/>
      <w:marBottom w:val="0"/>
      <w:divBdr>
        <w:top w:val="none" w:sz="0" w:space="0" w:color="auto"/>
        <w:left w:val="none" w:sz="0" w:space="0" w:color="auto"/>
        <w:bottom w:val="none" w:sz="0" w:space="0" w:color="auto"/>
        <w:right w:val="none" w:sz="0" w:space="0" w:color="auto"/>
      </w:divBdr>
    </w:div>
    <w:div w:id="624429510">
      <w:bodyDiv w:val="1"/>
      <w:marLeft w:val="0"/>
      <w:marRight w:val="0"/>
      <w:marTop w:val="0"/>
      <w:marBottom w:val="0"/>
      <w:divBdr>
        <w:top w:val="none" w:sz="0" w:space="0" w:color="auto"/>
        <w:left w:val="none" w:sz="0" w:space="0" w:color="auto"/>
        <w:bottom w:val="none" w:sz="0" w:space="0" w:color="auto"/>
        <w:right w:val="none" w:sz="0" w:space="0" w:color="auto"/>
      </w:divBdr>
      <w:divsChild>
        <w:div w:id="1419130544">
          <w:marLeft w:val="0"/>
          <w:marRight w:val="0"/>
          <w:marTop w:val="0"/>
          <w:marBottom w:val="0"/>
          <w:divBdr>
            <w:top w:val="none" w:sz="0" w:space="0" w:color="auto"/>
            <w:left w:val="none" w:sz="0" w:space="0" w:color="auto"/>
            <w:bottom w:val="none" w:sz="0" w:space="0" w:color="auto"/>
            <w:right w:val="none" w:sz="0" w:space="0" w:color="auto"/>
          </w:divBdr>
          <w:divsChild>
            <w:div w:id="486282941">
              <w:marLeft w:val="0"/>
              <w:marRight w:val="0"/>
              <w:marTop w:val="0"/>
              <w:marBottom w:val="0"/>
              <w:divBdr>
                <w:top w:val="none" w:sz="0" w:space="0" w:color="auto"/>
                <w:left w:val="none" w:sz="0" w:space="0" w:color="auto"/>
                <w:bottom w:val="none" w:sz="0" w:space="0" w:color="auto"/>
                <w:right w:val="none" w:sz="0" w:space="0" w:color="auto"/>
              </w:divBdr>
              <w:divsChild>
                <w:div w:id="441920112">
                  <w:marLeft w:val="0"/>
                  <w:marRight w:val="0"/>
                  <w:marTop w:val="0"/>
                  <w:marBottom w:val="0"/>
                  <w:divBdr>
                    <w:top w:val="none" w:sz="0" w:space="0" w:color="auto"/>
                    <w:left w:val="none" w:sz="0" w:space="0" w:color="auto"/>
                    <w:bottom w:val="none" w:sz="0" w:space="0" w:color="auto"/>
                    <w:right w:val="none" w:sz="0" w:space="0" w:color="auto"/>
                  </w:divBdr>
                  <w:divsChild>
                    <w:div w:id="1618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4119">
      <w:bodyDiv w:val="1"/>
      <w:marLeft w:val="0"/>
      <w:marRight w:val="0"/>
      <w:marTop w:val="0"/>
      <w:marBottom w:val="0"/>
      <w:divBdr>
        <w:top w:val="none" w:sz="0" w:space="0" w:color="auto"/>
        <w:left w:val="none" w:sz="0" w:space="0" w:color="auto"/>
        <w:bottom w:val="none" w:sz="0" w:space="0" w:color="auto"/>
        <w:right w:val="none" w:sz="0" w:space="0" w:color="auto"/>
      </w:divBdr>
    </w:div>
    <w:div w:id="642586984">
      <w:bodyDiv w:val="1"/>
      <w:marLeft w:val="0"/>
      <w:marRight w:val="0"/>
      <w:marTop w:val="0"/>
      <w:marBottom w:val="0"/>
      <w:divBdr>
        <w:top w:val="none" w:sz="0" w:space="0" w:color="auto"/>
        <w:left w:val="none" w:sz="0" w:space="0" w:color="auto"/>
        <w:bottom w:val="none" w:sz="0" w:space="0" w:color="auto"/>
        <w:right w:val="none" w:sz="0" w:space="0" w:color="auto"/>
      </w:divBdr>
      <w:divsChild>
        <w:div w:id="1225215916">
          <w:marLeft w:val="0"/>
          <w:marRight w:val="0"/>
          <w:marTop w:val="0"/>
          <w:marBottom w:val="0"/>
          <w:divBdr>
            <w:top w:val="none" w:sz="0" w:space="0" w:color="auto"/>
            <w:left w:val="none" w:sz="0" w:space="0" w:color="auto"/>
            <w:bottom w:val="none" w:sz="0" w:space="0" w:color="auto"/>
            <w:right w:val="none" w:sz="0" w:space="0" w:color="auto"/>
          </w:divBdr>
          <w:divsChild>
            <w:div w:id="598493368">
              <w:marLeft w:val="0"/>
              <w:marRight w:val="0"/>
              <w:marTop w:val="0"/>
              <w:marBottom w:val="0"/>
              <w:divBdr>
                <w:top w:val="none" w:sz="0" w:space="0" w:color="auto"/>
                <w:left w:val="none" w:sz="0" w:space="0" w:color="auto"/>
                <w:bottom w:val="none" w:sz="0" w:space="0" w:color="auto"/>
                <w:right w:val="none" w:sz="0" w:space="0" w:color="auto"/>
              </w:divBdr>
              <w:divsChild>
                <w:div w:id="807747506">
                  <w:marLeft w:val="0"/>
                  <w:marRight w:val="0"/>
                  <w:marTop w:val="0"/>
                  <w:marBottom w:val="0"/>
                  <w:divBdr>
                    <w:top w:val="none" w:sz="0" w:space="0" w:color="auto"/>
                    <w:left w:val="none" w:sz="0" w:space="0" w:color="auto"/>
                    <w:bottom w:val="none" w:sz="0" w:space="0" w:color="auto"/>
                    <w:right w:val="none" w:sz="0" w:space="0" w:color="auto"/>
                  </w:divBdr>
                  <w:divsChild>
                    <w:div w:id="18819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40810">
      <w:bodyDiv w:val="1"/>
      <w:marLeft w:val="0"/>
      <w:marRight w:val="0"/>
      <w:marTop w:val="0"/>
      <w:marBottom w:val="0"/>
      <w:divBdr>
        <w:top w:val="none" w:sz="0" w:space="0" w:color="auto"/>
        <w:left w:val="none" w:sz="0" w:space="0" w:color="auto"/>
        <w:bottom w:val="none" w:sz="0" w:space="0" w:color="auto"/>
        <w:right w:val="none" w:sz="0" w:space="0" w:color="auto"/>
      </w:divBdr>
    </w:div>
    <w:div w:id="650524683">
      <w:bodyDiv w:val="1"/>
      <w:marLeft w:val="0"/>
      <w:marRight w:val="0"/>
      <w:marTop w:val="0"/>
      <w:marBottom w:val="0"/>
      <w:divBdr>
        <w:top w:val="none" w:sz="0" w:space="0" w:color="auto"/>
        <w:left w:val="none" w:sz="0" w:space="0" w:color="auto"/>
        <w:bottom w:val="none" w:sz="0" w:space="0" w:color="auto"/>
        <w:right w:val="none" w:sz="0" w:space="0" w:color="auto"/>
      </w:divBdr>
    </w:div>
    <w:div w:id="734746476">
      <w:bodyDiv w:val="1"/>
      <w:marLeft w:val="0"/>
      <w:marRight w:val="0"/>
      <w:marTop w:val="0"/>
      <w:marBottom w:val="0"/>
      <w:divBdr>
        <w:top w:val="none" w:sz="0" w:space="0" w:color="auto"/>
        <w:left w:val="none" w:sz="0" w:space="0" w:color="auto"/>
        <w:bottom w:val="none" w:sz="0" w:space="0" w:color="auto"/>
        <w:right w:val="none" w:sz="0" w:space="0" w:color="auto"/>
      </w:divBdr>
    </w:div>
    <w:div w:id="750543551">
      <w:bodyDiv w:val="1"/>
      <w:marLeft w:val="0"/>
      <w:marRight w:val="0"/>
      <w:marTop w:val="0"/>
      <w:marBottom w:val="0"/>
      <w:divBdr>
        <w:top w:val="none" w:sz="0" w:space="0" w:color="auto"/>
        <w:left w:val="none" w:sz="0" w:space="0" w:color="auto"/>
        <w:bottom w:val="none" w:sz="0" w:space="0" w:color="auto"/>
        <w:right w:val="none" w:sz="0" w:space="0" w:color="auto"/>
      </w:divBdr>
    </w:div>
    <w:div w:id="775519225">
      <w:bodyDiv w:val="1"/>
      <w:marLeft w:val="0"/>
      <w:marRight w:val="0"/>
      <w:marTop w:val="0"/>
      <w:marBottom w:val="0"/>
      <w:divBdr>
        <w:top w:val="none" w:sz="0" w:space="0" w:color="auto"/>
        <w:left w:val="none" w:sz="0" w:space="0" w:color="auto"/>
        <w:bottom w:val="none" w:sz="0" w:space="0" w:color="auto"/>
        <w:right w:val="none" w:sz="0" w:space="0" w:color="auto"/>
      </w:divBdr>
    </w:div>
    <w:div w:id="779685154">
      <w:bodyDiv w:val="1"/>
      <w:marLeft w:val="0"/>
      <w:marRight w:val="0"/>
      <w:marTop w:val="0"/>
      <w:marBottom w:val="0"/>
      <w:divBdr>
        <w:top w:val="none" w:sz="0" w:space="0" w:color="auto"/>
        <w:left w:val="none" w:sz="0" w:space="0" w:color="auto"/>
        <w:bottom w:val="none" w:sz="0" w:space="0" w:color="auto"/>
        <w:right w:val="none" w:sz="0" w:space="0" w:color="auto"/>
      </w:divBdr>
    </w:div>
    <w:div w:id="793018288">
      <w:bodyDiv w:val="1"/>
      <w:marLeft w:val="0"/>
      <w:marRight w:val="0"/>
      <w:marTop w:val="0"/>
      <w:marBottom w:val="0"/>
      <w:divBdr>
        <w:top w:val="none" w:sz="0" w:space="0" w:color="auto"/>
        <w:left w:val="none" w:sz="0" w:space="0" w:color="auto"/>
        <w:bottom w:val="none" w:sz="0" w:space="0" w:color="auto"/>
        <w:right w:val="none" w:sz="0" w:space="0" w:color="auto"/>
      </w:divBdr>
    </w:div>
    <w:div w:id="802842756">
      <w:bodyDiv w:val="1"/>
      <w:marLeft w:val="0"/>
      <w:marRight w:val="0"/>
      <w:marTop w:val="0"/>
      <w:marBottom w:val="0"/>
      <w:divBdr>
        <w:top w:val="none" w:sz="0" w:space="0" w:color="auto"/>
        <w:left w:val="none" w:sz="0" w:space="0" w:color="auto"/>
        <w:bottom w:val="none" w:sz="0" w:space="0" w:color="auto"/>
        <w:right w:val="none" w:sz="0" w:space="0" w:color="auto"/>
      </w:divBdr>
    </w:div>
    <w:div w:id="807362885">
      <w:bodyDiv w:val="1"/>
      <w:marLeft w:val="0"/>
      <w:marRight w:val="0"/>
      <w:marTop w:val="0"/>
      <w:marBottom w:val="0"/>
      <w:divBdr>
        <w:top w:val="none" w:sz="0" w:space="0" w:color="auto"/>
        <w:left w:val="none" w:sz="0" w:space="0" w:color="auto"/>
        <w:bottom w:val="none" w:sz="0" w:space="0" w:color="auto"/>
        <w:right w:val="none" w:sz="0" w:space="0" w:color="auto"/>
      </w:divBdr>
    </w:div>
    <w:div w:id="865555493">
      <w:bodyDiv w:val="1"/>
      <w:marLeft w:val="0"/>
      <w:marRight w:val="0"/>
      <w:marTop w:val="0"/>
      <w:marBottom w:val="0"/>
      <w:divBdr>
        <w:top w:val="none" w:sz="0" w:space="0" w:color="auto"/>
        <w:left w:val="none" w:sz="0" w:space="0" w:color="auto"/>
        <w:bottom w:val="none" w:sz="0" w:space="0" w:color="auto"/>
        <w:right w:val="none" w:sz="0" w:space="0" w:color="auto"/>
      </w:divBdr>
      <w:divsChild>
        <w:div w:id="1544513157">
          <w:marLeft w:val="0"/>
          <w:marRight w:val="0"/>
          <w:marTop w:val="0"/>
          <w:marBottom w:val="0"/>
          <w:divBdr>
            <w:top w:val="none" w:sz="0" w:space="0" w:color="auto"/>
            <w:left w:val="none" w:sz="0" w:space="0" w:color="auto"/>
            <w:bottom w:val="none" w:sz="0" w:space="0" w:color="auto"/>
            <w:right w:val="none" w:sz="0" w:space="0" w:color="auto"/>
          </w:divBdr>
          <w:divsChild>
            <w:div w:id="549651008">
              <w:marLeft w:val="0"/>
              <w:marRight w:val="0"/>
              <w:marTop w:val="0"/>
              <w:marBottom w:val="0"/>
              <w:divBdr>
                <w:top w:val="none" w:sz="0" w:space="0" w:color="auto"/>
                <w:left w:val="none" w:sz="0" w:space="0" w:color="auto"/>
                <w:bottom w:val="none" w:sz="0" w:space="0" w:color="auto"/>
                <w:right w:val="none" w:sz="0" w:space="0" w:color="auto"/>
              </w:divBdr>
              <w:divsChild>
                <w:div w:id="542250910">
                  <w:marLeft w:val="0"/>
                  <w:marRight w:val="0"/>
                  <w:marTop w:val="0"/>
                  <w:marBottom w:val="0"/>
                  <w:divBdr>
                    <w:top w:val="none" w:sz="0" w:space="0" w:color="auto"/>
                    <w:left w:val="none" w:sz="0" w:space="0" w:color="auto"/>
                    <w:bottom w:val="none" w:sz="0" w:space="0" w:color="auto"/>
                    <w:right w:val="none" w:sz="0" w:space="0" w:color="auto"/>
                  </w:divBdr>
                  <w:divsChild>
                    <w:div w:id="10361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4125">
      <w:bodyDiv w:val="1"/>
      <w:marLeft w:val="0"/>
      <w:marRight w:val="0"/>
      <w:marTop w:val="0"/>
      <w:marBottom w:val="0"/>
      <w:divBdr>
        <w:top w:val="none" w:sz="0" w:space="0" w:color="auto"/>
        <w:left w:val="none" w:sz="0" w:space="0" w:color="auto"/>
        <w:bottom w:val="none" w:sz="0" w:space="0" w:color="auto"/>
        <w:right w:val="none" w:sz="0" w:space="0" w:color="auto"/>
      </w:divBdr>
    </w:div>
    <w:div w:id="884176261">
      <w:bodyDiv w:val="1"/>
      <w:marLeft w:val="0"/>
      <w:marRight w:val="0"/>
      <w:marTop w:val="0"/>
      <w:marBottom w:val="0"/>
      <w:divBdr>
        <w:top w:val="none" w:sz="0" w:space="0" w:color="auto"/>
        <w:left w:val="none" w:sz="0" w:space="0" w:color="auto"/>
        <w:bottom w:val="none" w:sz="0" w:space="0" w:color="auto"/>
        <w:right w:val="none" w:sz="0" w:space="0" w:color="auto"/>
      </w:divBdr>
    </w:div>
    <w:div w:id="912933670">
      <w:bodyDiv w:val="1"/>
      <w:marLeft w:val="0"/>
      <w:marRight w:val="0"/>
      <w:marTop w:val="0"/>
      <w:marBottom w:val="0"/>
      <w:divBdr>
        <w:top w:val="none" w:sz="0" w:space="0" w:color="auto"/>
        <w:left w:val="none" w:sz="0" w:space="0" w:color="auto"/>
        <w:bottom w:val="none" w:sz="0" w:space="0" w:color="auto"/>
        <w:right w:val="none" w:sz="0" w:space="0" w:color="auto"/>
      </w:divBdr>
    </w:div>
    <w:div w:id="918098590">
      <w:bodyDiv w:val="1"/>
      <w:marLeft w:val="0"/>
      <w:marRight w:val="0"/>
      <w:marTop w:val="0"/>
      <w:marBottom w:val="0"/>
      <w:divBdr>
        <w:top w:val="none" w:sz="0" w:space="0" w:color="auto"/>
        <w:left w:val="none" w:sz="0" w:space="0" w:color="auto"/>
        <w:bottom w:val="none" w:sz="0" w:space="0" w:color="auto"/>
        <w:right w:val="none" w:sz="0" w:space="0" w:color="auto"/>
      </w:divBdr>
    </w:div>
    <w:div w:id="920069760">
      <w:bodyDiv w:val="1"/>
      <w:marLeft w:val="0"/>
      <w:marRight w:val="0"/>
      <w:marTop w:val="0"/>
      <w:marBottom w:val="0"/>
      <w:divBdr>
        <w:top w:val="none" w:sz="0" w:space="0" w:color="auto"/>
        <w:left w:val="none" w:sz="0" w:space="0" w:color="auto"/>
        <w:bottom w:val="none" w:sz="0" w:space="0" w:color="auto"/>
        <w:right w:val="none" w:sz="0" w:space="0" w:color="auto"/>
      </w:divBdr>
    </w:div>
    <w:div w:id="924152161">
      <w:bodyDiv w:val="1"/>
      <w:marLeft w:val="0"/>
      <w:marRight w:val="0"/>
      <w:marTop w:val="0"/>
      <w:marBottom w:val="0"/>
      <w:divBdr>
        <w:top w:val="none" w:sz="0" w:space="0" w:color="auto"/>
        <w:left w:val="none" w:sz="0" w:space="0" w:color="auto"/>
        <w:bottom w:val="none" w:sz="0" w:space="0" w:color="auto"/>
        <w:right w:val="none" w:sz="0" w:space="0" w:color="auto"/>
      </w:divBdr>
    </w:div>
    <w:div w:id="933635775">
      <w:bodyDiv w:val="1"/>
      <w:marLeft w:val="0"/>
      <w:marRight w:val="0"/>
      <w:marTop w:val="0"/>
      <w:marBottom w:val="0"/>
      <w:divBdr>
        <w:top w:val="none" w:sz="0" w:space="0" w:color="auto"/>
        <w:left w:val="none" w:sz="0" w:space="0" w:color="auto"/>
        <w:bottom w:val="none" w:sz="0" w:space="0" w:color="auto"/>
        <w:right w:val="none" w:sz="0" w:space="0" w:color="auto"/>
      </w:divBdr>
    </w:div>
    <w:div w:id="959650148">
      <w:bodyDiv w:val="1"/>
      <w:marLeft w:val="0"/>
      <w:marRight w:val="0"/>
      <w:marTop w:val="0"/>
      <w:marBottom w:val="0"/>
      <w:divBdr>
        <w:top w:val="none" w:sz="0" w:space="0" w:color="auto"/>
        <w:left w:val="none" w:sz="0" w:space="0" w:color="auto"/>
        <w:bottom w:val="none" w:sz="0" w:space="0" w:color="auto"/>
        <w:right w:val="none" w:sz="0" w:space="0" w:color="auto"/>
      </w:divBdr>
    </w:div>
    <w:div w:id="965890099">
      <w:bodyDiv w:val="1"/>
      <w:marLeft w:val="0"/>
      <w:marRight w:val="0"/>
      <w:marTop w:val="0"/>
      <w:marBottom w:val="0"/>
      <w:divBdr>
        <w:top w:val="none" w:sz="0" w:space="0" w:color="auto"/>
        <w:left w:val="none" w:sz="0" w:space="0" w:color="auto"/>
        <w:bottom w:val="none" w:sz="0" w:space="0" w:color="auto"/>
        <w:right w:val="none" w:sz="0" w:space="0" w:color="auto"/>
      </w:divBdr>
    </w:div>
    <w:div w:id="1010840294">
      <w:bodyDiv w:val="1"/>
      <w:marLeft w:val="0"/>
      <w:marRight w:val="0"/>
      <w:marTop w:val="0"/>
      <w:marBottom w:val="0"/>
      <w:divBdr>
        <w:top w:val="none" w:sz="0" w:space="0" w:color="auto"/>
        <w:left w:val="none" w:sz="0" w:space="0" w:color="auto"/>
        <w:bottom w:val="none" w:sz="0" w:space="0" w:color="auto"/>
        <w:right w:val="none" w:sz="0" w:space="0" w:color="auto"/>
      </w:divBdr>
    </w:div>
    <w:div w:id="1022710086">
      <w:bodyDiv w:val="1"/>
      <w:marLeft w:val="0"/>
      <w:marRight w:val="0"/>
      <w:marTop w:val="0"/>
      <w:marBottom w:val="0"/>
      <w:divBdr>
        <w:top w:val="none" w:sz="0" w:space="0" w:color="auto"/>
        <w:left w:val="none" w:sz="0" w:space="0" w:color="auto"/>
        <w:bottom w:val="none" w:sz="0" w:space="0" w:color="auto"/>
        <w:right w:val="none" w:sz="0" w:space="0" w:color="auto"/>
      </w:divBdr>
    </w:div>
    <w:div w:id="1028481185">
      <w:bodyDiv w:val="1"/>
      <w:marLeft w:val="0"/>
      <w:marRight w:val="0"/>
      <w:marTop w:val="0"/>
      <w:marBottom w:val="0"/>
      <w:divBdr>
        <w:top w:val="none" w:sz="0" w:space="0" w:color="auto"/>
        <w:left w:val="none" w:sz="0" w:space="0" w:color="auto"/>
        <w:bottom w:val="none" w:sz="0" w:space="0" w:color="auto"/>
        <w:right w:val="none" w:sz="0" w:space="0" w:color="auto"/>
      </w:divBdr>
    </w:div>
    <w:div w:id="1034501158">
      <w:bodyDiv w:val="1"/>
      <w:marLeft w:val="0"/>
      <w:marRight w:val="0"/>
      <w:marTop w:val="0"/>
      <w:marBottom w:val="0"/>
      <w:divBdr>
        <w:top w:val="none" w:sz="0" w:space="0" w:color="auto"/>
        <w:left w:val="none" w:sz="0" w:space="0" w:color="auto"/>
        <w:bottom w:val="none" w:sz="0" w:space="0" w:color="auto"/>
        <w:right w:val="none" w:sz="0" w:space="0" w:color="auto"/>
      </w:divBdr>
    </w:div>
    <w:div w:id="1036858646">
      <w:bodyDiv w:val="1"/>
      <w:marLeft w:val="0"/>
      <w:marRight w:val="0"/>
      <w:marTop w:val="0"/>
      <w:marBottom w:val="0"/>
      <w:divBdr>
        <w:top w:val="none" w:sz="0" w:space="0" w:color="auto"/>
        <w:left w:val="none" w:sz="0" w:space="0" w:color="auto"/>
        <w:bottom w:val="none" w:sz="0" w:space="0" w:color="auto"/>
        <w:right w:val="none" w:sz="0" w:space="0" w:color="auto"/>
      </w:divBdr>
    </w:div>
    <w:div w:id="1037437878">
      <w:bodyDiv w:val="1"/>
      <w:marLeft w:val="0"/>
      <w:marRight w:val="0"/>
      <w:marTop w:val="0"/>
      <w:marBottom w:val="0"/>
      <w:divBdr>
        <w:top w:val="none" w:sz="0" w:space="0" w:color="auto"/>
        <w:left w:val="none" w:sz="0" w:space="0" w:color="auto"/>
        <w:bottom w:val="none" w:sz="0" w:space="0" w:color="auto"/>
        <w:right w:val="none" w:sz="0" w:space="0" w:color="auto"/>
      </w:divBdr>
    </w:div>
    <w:div w:id="1061632392">
      <w:bodyDiv w:val="1"/>
      <w:marLeft w:val="0"/>
      <w:marRight w:val="0"/>
      <w:marTop w:val="0"/>
      <w:marBottom w:val="0"/>
      <w:divBdr>
        <w:top w:val="none" w:sz="0" w:space="0" w:color="auto"/>
        <w:left w:val="none" w:sz="0" w:space="0" w:color="auto"/>
        <w:bottom w:val="none" w:sz="0" w:space="0" w:color="auto"/>
        <w:right w:val="none" w:sz="0" w:space="0" w:color="auto"/>
      </w:divBdr>
    </w:div>
    <w:div w:id="1069960551">
      <w:bodyDiv w:val="1"/>
      <w:marLeft w:val="0"/>
      <w:marRight w:val="0"/>
      <w:marTop w:val="0"/>
      <w:marBottom w:val="0"/>
      <w:divBdr>
        <w:top w:val="none" w:sz="0" w:space="0" w:color="auto"/>
        <w:left w:val="none" w:sz="0" w:space="0" w:color="auto"/>
        <w:bottom w:val="none" w:sz="0" w:space="0" w:color="auto"/>
        <w:right w:val="none" w:sz="0" w:space="0" w:color="auto"/>
      </w:divBdr>
    </w:div>
    <w:div w:id="1103495426">
      <w:bodyDiv w:val="1"/>
      <w:marLeft w:val="0"/>
      <w:marRight w:val="0"/>
      <w:marTop w:val="0"/>
      <w:marBottom w:val="0"/>
      <w:divBdr>
        <w:top w:val="none" w:sz="0" w:space="0" w:color="auto"/>
        <w:left w:val="none" w:sz="0" w:space="0" w:color="auto"/>
        <w:bottom w:val="none" w:sz="0" w:space="0" w:color="auto"/>
        <w:right w:val="none" w:sz="0" w:space="0" w:color="auto"/>
      </w:divBdr>
    </w:div>
    <w:div w:id="1152137287">
      <w:bodyDiv w:val="1"/>
      <w:marLeft w:val="0"/>
      <w:marRight w:val="0"/>
      <w:marTop w:val="0"/>
      <w:marBottom w:val="0"/>
      <w:divBdr>
        <w:top w:val="none" w:sz="0" w:space="0" w:color="auto"/>
        <w:left w:val="none" w:sz="0" w:space="0" w:color="auto"/>
        <w:bottom w:val="none" w:sz="0" w:space="0" w:color="auto"/>
        <w:right w:val="none" w:sz="0" w:space="0" w:color="auto"/>
      </w:divBdr>
    </w:div>
    <w:div w:id="1155805315">
      <w:bodyDiv w:val="1"/>
      <w:marLeft w:val="0"/>
      <w:marRight w:val="0"/>
      <w:marTop w:val="0"/>
      <w:marBottom w:val="0"/>
      <w:divBdr>
        <w:top w:val="none" w:sz="0" w:space="0" w:color="auto"/>
        <w:left w:val="none" w:sz="0" w:space="0" w:color="auto"/>
        <w:bottom w:val="none" w:sz="0" w:space="0" w:color="auto"/>
        <w:right w:val="none" w:sz="0" w:space="0" w:color="auto"/>
      </w:divBdr>
    </w:div>
    <w:div w:id="1163814270">
      <w:bodyDiv w:val="1"/>
      <w:marLeft w:val="0"/>
      <w:marRight w:val="0"/>
      <w:marTop w:val="0"/>
      <w:marBottom w:val="0"/>
      <w:divBdr>
        <w:top w:val="none" w:sz="0" w:space="0" w:color="auto"/>
        <w:left w:val="none" w:sz="0" w:space="0" w:color="auto"/>
        <w:bottom w:val="none" w:sz="0" w:space="0" w:color="auto"/>
        <w:right w:val="none" w:sz="0" w:space="0" w:color="auto"/>
      </w:divBdr>
      <w:divsChild>
        <w:div w:id="1635679354">
          <w:marLeft w:val="0"/>
          <w:marRight w:val="0"/>
          <w:marTop w:val="0"/>
          <w:marBottom w:val="0"/>
          <w:divBdr>
            <w:top w:val="none" w:sz="0" w:space="0" w:color="auto"/>
            <w:left w:val="none" w:sz="0" w:space="0" w:color="auto"/>
            <w:bottom w:val="none" w:sz="0" w:space="0" w:color="auto"/>
            <w:right w:val="none" w:sz="0" w:space="0" w:color="auto"/>
          </w:divBdr>
          <w:divsChild>
            <w:div w:id="343171014">
              <w:marLeft w:val="0"/>
              <w:marRight w:val="0"/>
              <w:marTop w:val="0"/>
              <w:marBottom w:val="0"/>
              <w:divBdr>
                <w:top w:val="none" w:sz="0" w:space="0" w:color="auto"/>
                <w:left w:val="none" w:sz="0" w:space="0" w:color="auto"/>
                <w:bottom w:val="none" w:sz="0" w:space="0" w:color="auto"/>
                <w:right w:val="none" w:sz="0" w:space="0" w:color="auto"/>
              </w:divBdr>
              <w:divsChild>
                <w:div w:id="1453671182">
                  <w:marLeft w:val="0"/>
                  <w:marRight w:val="0"/>
                  <w:marTop w:val="0"/>
                  <w:marBottom w:val="0"/>
                  <w:divBdr>
                    <w:top w:val="none" w:sz="0" w:space="0" w:color="auto"/>
                    <w:left w:val="none" w:sz="0" w:space="0" w:color="auto"/>
                    <w:bottom w:val="none" w:sz="0" w:space="0" w:color="auto"/>
                    <w:right w:val="none" w:sz="0" w:space="0" w:color="auto"/>
                  </w:divBdr>
                  <w:divsChild>
                    <w:div w:id="676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4139">
          <w:marLeft w:val="0"/>
          <w:marRight w:val="0"/>
          <w:marTop w:val="0"/>
          <w:marBottom w:val="0"/>
          <w:divBdr>
            <w:top w:val="none" w:sz="0" w:space="0" w:color="auto"/>
            <w:left w:val="none" w:sz="0" w:space="0" w:color="auto"/>
            <w:bottom w:val="none" w:sz="0" w:space="0" w:color="auto"/>
            <w:right w:val="none" w:sz="0" w:space="0" w:color="auto"/>
          </w:divBdr>
          <w:divsChild>
            <w:div w:id="1999730640">
              <w:marLeft w:val="0"/>
              <w:marRight w:val="0"/>
              <w:marTop w:val="0"/>
              <w:marBottom w:val="0"/>
              <w:divBdr>
                <w:top w:val="none" w:sz="0" w:space="0" w:color="auto"/>
                <w:left w:val="none" w:sz="0" w:space="0" w:color="auto"/>
                <w:bottom w:val="none" w:sz="0" w:space="0" w:color="auto"/>
                <w:right w:val="none" w:sz="0" w:space="0" w:color="auto"/>
              </w:divBdr>
              <w:divsChild>
                <w:div w:id="1505897958">
                  <w:marLeft w:val="0"/>
                  <w:marRight w:val="0"/>
                  <w:marTop w:val="0"/>
                  <w:marBottom w:val="0"/>
                  <w:divBdr>
                    <w:top w:val="none" w:sz="0" w:space="0" w:color="auto"/>
                    <w:left w:val="none" w:sz="0" w:space="0" w:color="auto"/>
                    <w:bottom w:val="none" w:sz="0" w:space="0" w:color="auto"/>
                    <w:right w:val="none" w:sz="0" w:space="0" w:color="auto"/>
                  </w:divBdr>
                  <w:divsChild>
                    <w:div w:id="255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61826">
      <w:bodyDiv w:val="1"/>
      <w:marLeft w:val="0"/>
      <w:marRight w:val="0"/>
      <w:marTop w:val="0"/>
      <w:marBottom w:val="0"/>
      <w:divBdr>
        <w:top w:val="none" w:sz="0" w:space="0" w:color="auto"/>
        <w:left w:val="none" w:sz="0" w:space="0" w:color="auto"/>
        <w:bottom w:val="none" w:sz="0" w:space="0" w:color="auto"/>
        <w:right w:val="none" w:sz="0" w:space="0" w:color="auto"/>
      </w:divBdr>
      <w:divsChild>
        <w:div w:id="2138914575">
          <w:marLeft w:val="0"/>
          <w:marRight w:val="0"/>
          <w:marTop w:val="0"/>
          <w:marBottom w:val="0"/>
          <w:divBdr>
            <w:top w:val="none" w:sz="0" w:space="0" w:color="auto"/>
            <w:left w:val="none" w:sz="0" w:space="0" w:color="auto"/>
            <w:bottom w:val="none" w:sz="0" w:space="0" w:color="auto"/>
            <w:right w:val="none" w:sz="0" w:space="0" w:color="auto"/>
          </w:divBdr>
          <w:divsChild>
            <w:div w:id="1785686080">
              <w:marLeft w:val="0"/>
              <w:marRight w:val="0"/>
              <w:marTop w:val="0"/>
              <w:marBottom w:val="0"/>
              <w:divBdr>
                <w:top w:val="none" w:sz="0" w:space="0" w:color="auto"/>
                <w:left w:val="none" w:sz="0" w:space="0" w:color="auto"/>
                <w:bottom w:val="none" w:sz="0" w:space="0" w:color="auto"/>
                <w:right w:val="none" w:sz="0" w:space="0" w:color="auto"/>
              </w:divBdr>
              <w:divsChild>
                <w:div w:id="360984719">
                  <w:marLeft w:val="0"/>
                  <w:marRight w:val="0"/>
                  <w:marTop w:val="0"/>
                  <w:marBottom w:val="0"/>
                  <w:divBdr>
                    <w:top w:val="none" w:sz="0" w:space="0" w:color="auto"/>
                    <w:left w:val="none" w:sz="0" w:space="0" w:color="auto"/>
                    <w:bottom w:val="none" w:sz="0" w:space="0" w:color="auto"/>
                    <w:right w:val="none" w:sz="0" w:space="0" w:color="auto"/>
                  </w:divBdr>
                  <w:divsChild>
                    <w:div w:id="7291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9211">
      <w:bodyDiv w:val="1"/>
      <w:marLeft w:val="0"/>
      <w:marRight w:val="0"/>
      <w:marTop w:val="0"/>
      <w:marBottom w:val="0"/>
      <w:divBdr>
        <w:top w:val="none" w:sz="0" w:space="0" w:color="auto"/>
        <w:left w:val="none" w:sz="0" w:space="0" w:color="auto"/>
        <w:bottom w:val="none" w:sz="0" w:space="0" w:color="auto"/>
        <w:right w:val="none" w:sz="0" w:space="0" w:color="auto"/>
      </w:divBdr>
    </w:div>
    <w:div w:id="1203325261">
      <w:bodyDiv w:val="1"/>
      <w:marLeft w:val="0"/>
      <w:marRight w:val="0"/>
      <w:marTop w:val="0"/>
      <w:marBottom w:val="0"/>
      <w:divBdr>
        <w:top w:val="none" w:sz="0" w:space="0" w:color="auto"/>
        <w:left w:val="none" w:sz="0" w:space="0" w:color="auto"/>
        <w:bottom w:val="none" w:sz="0" w:space="0" w:color="auto"/>
        <w:right w:val="none" w:sz="0" w:space="0" w:color="auto"/>
      </w:divBdr>
    </w:div>
    <w:div w:id="1221330012">
      <w:bodyDiv w:val="1"/>
      <w:marLeft w:val="0"/>
      <w:marRight w:val="0"/>
      <w:marTop w:val="0"/>
      <w:marBottom w:val="0"/>
      <w:divBdr>
        <w:top w:val="none" w:sz="0" w:space="0" w:color="auto"/>
        <w:left w:val="none" w:sz="0" w:space="0" w:color="auto"/>
        <w:bottom w:val="none" w:sz="0" w:space="0" w:color="auto"/>
        <w:right w:val="none" w:sz="0" w:space="0" w:color="auto"/>
      </w:divBdr>
    </w:div>
    <w:div w:id="1221406062">
      <w:bodyDiv w:val="1"/>
      <w:marLeft w:val="0"/>
      <w:marRight w:val="0"/>
      <w:marTop w:val="0"/>
      <w:marBottom w:val="0"/>
      <w:divBdr>
        <w:top w:val="none" w:sz="0" w:space="0" w:color="auto"/>
        <w:left w:val="none" w:sz="0" w:space="0" w:color="auto"/>
        <w:bottom w:val="none" w:sz="0" w:space="0" w:color="auto"/>
        <w:right w:val="none" w:sz="0" w:space="0" w:color="auto"/>
      </w:divBdr>
      <w:divsChild>
        <w:div w:id="1240990248">
          <w:marLeft w:val="0"/>
          <w:marRight w:val="0"/>
          <w:marTop w:val="0"/>
          <w:marBottom w:val="0"/>
          <w:divBdr>
            <w:top w:val="none" w:sz="0" w:space="0" w:color="auto"/>
            <w:left w:val="none" w:sz="0" w:space="0" w:color="auto"/>
            <w:bottom w:val="none" w:sz="0" w:space="0" w:color="auto"/>
            <w:right w:val="none" w:sz="0" w:space="0" w:color="auto"/>
          </w:divBdr>
          <w:divsChild>
            <w:div w:id="427193331">
              <w:marLeft w:val="0"/>
              <w:marRight w:val="0"/>
              <w:marTop w:val="0"/>
              <w:marBottom w:val="0"/>
              <w:divBdr>
                <w:top w:val="none" w:sz="0" w:space="0" w:color="auto"/>
                <w:left w:val="none" w:sz="0" w:space="0" w:color="auto"/>
                <w:bottom w:val="none" w:sz="0" w:space="0" w:color="auto"/>
                <w:right w:val="none" w:sz="0" w:space="0" w:color="auto"/>
              </w:divBdr>
              <w:divsChild>
                <w:div w:id="603726958">
                  <w:marLeft w:val="0"/>
                  <w:marRight w:val="0"/>
                  <w:marTop w:val="0"/>
                  <w:marBottom w:val="0"/>
                  <w:divBdr>
                    <w:top w:val="none" w:sz="0" w:space="0" w:color="auto"/>
                    <w:left w:val="none" w:sz="0" w:space="0" w:color="auto"/>
                    <w:bottom w:val="none" w:sz="0" w:space="0" w:color="auto"/>
                    <w:right w:val="none" w:sz="0" w:space="0" w:color="auto"/>
                  </w:divBdr>
                  <w:divsChild>
                    <w:div w:id="572663007">
                      <w:marLeft w:val="0"/>
                      <w:marRight w:val="0"/>
                      <w:marTop w:val="0"/>
                      <w:marBottom w:val="0"/>
                      <w:divBdr>
                        <w:top w:val="none" w:sz="0" w:space="0" w:color="auto"/>
                        <w:left w:val="none" w:sz="0" w:space="0" w:color="auto"/>
                        <w:bottom w:val="none" w:sz="0" w:space="0" w:color="auto"/>
                        <w:right w:val="none" w:sz="0" w:space="0" w:color="auto"/>
                      </w:divBdr>
                      <w:divsChild>
                        <w:div w:id="616642688">
                          <w:marLeft w:val="0"/>
                          <w:marRight w:val="0"/>
                          <w:marTop w:val="0"/>
                          <w:marBottom w:val="0"/>
                          <w:divBdr>
                            <w:top w:val="none" w:sz="0" w:space="0" w:color="auto"/>
                            <w:left w:val="none" w:sz="0" w:space="0" w:color="auto"/>
                            <w:bottom w:val="none" w:sz="0" w:space="0" w:color="auto"/>
                            <w:right w:val="none" w:sz="0" w:space="0" w:color="auto"/>
                          </w:divBdr>
                          <w:divsChild>
                            <w:div w:id="5562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86480">
      <w:bodyDiv w:val="1"/>
      <w:marLeft w:val="0"/>
      <w:marRight w:val="0"/>
      <w:marTop w:val="0"/>
      <w:marBottom w:val="0"/>
      <w:divBdr>
        <w:top w:val="none" w:sz="0" w:space="0" w:color="auto"/>
        <w:left w:val="none" w:sz="0" w:space="0" w:color="auto"/>
        <w:bottom w:val="none" w:sz="0" w:space="0" w:color="auto"/>
        <w:right w:val="none" w:sz="0" w:space="0" w:color="auto"/>
      </w:divBdr>
    </w:div>
    <w:div w:id="1237745186">
      <w:bodyDiv w:val="1"/>
      <w:marLeft w:val="0"/>
      <w:marRight w:val="0"/>
      <w:marTop w:val="0"/>
      <w:marBottom w:val="0"/>
      <w:divBdr>
        <w:top w:val="none" w:sz="0" w:space="0" w:color="auto"/>
        <w:left w:val="none" w:sz="0" w:space="0" w:color="auto"/>
        <w:bottom w:val="none" w:sz="0" w:space="0" w:color="auto"/>
        <w:right w:val="none" w:sz="0" w:space="0" w:color="auto"/>
      </w:divBdr>
    </w:div>
    <w:div w:id="1252467244">
      <w:bodyDiv w:val="1"/>
      <w:marLeft w:val="0"/>
      <w:marRight w:val="0"/>
      <w:marTop w:val="0"/>
      <w:marBottom w:val="0"/>
      <w:divBdr>
        <w:top w:val="none" w:sz="0" w:space="0" w:color="auto"/>
        <w:left w:val="none" w:sz="0" w:space="0" w:color="auto"/>
        <w:bottom w:val="none" w:sz="0" w:space="0" w:color="auto"/>
        <w:right w:val="none" w:sz="0" w:space="0" w:color="auto"/>
      </w:divBdr>
    </w:div>
    <w:div w:id="1259288448">
      <w:bodyDiv w:val="1"/>
      <w:marLeft w:val="0"/>
      <w:marRight w:val="0"/>
      <w:marTop w:val="0"/>
      <w:marBottom w:val="0"/>
      <w:divBdr>
        <w:top w:val="none" w:sz="0" w:space="0" w:color="auto"/>
        <w:left w:val="none" w:sz="0" w:space="0" w:color="auto"/>
        <w:bottom w:val="none" w:sz="0" w:space="0" w:color="auto"/>
        <w:right w:val="none" w:sz="0" w:space="0" w:color="auto"/>
      </w:divBdr>
    </w:div>
    <w:div w:id="1265116064">
      <w:bodyDiv w:val="1"/>
      <w:marLeft w:val="0"/>
      <w:marRight w:val="0"/>
      <w:marTop w:val="0"/>
      <w:marBottom w:val="0"/>
      <w:divBdr>
        <w:top w:val="none" w:sz="0" w:space="0" w:color="auto"/>
        <w:left w:val="none" w:sz="0" w:space="0" w:color="auto"/>
        <w:bottom w:val="none" w:sz="0" w:space="0" w:color="auto"/>
        <w:right w:val="none" w:sz="0" w:space="0" w:color="auto"/>
      </w:divBdr>
    </w:div>
    <w:div w:id="1268655772">
      <w:bodyDiv w:val="1"/>
      <w:marLeft w:val="0"/>
      <w:marRight w:val="0"/>
      <w:marTop w:val="0"/>
      <w:marBottom w:val="0"/>
      <w:divBdr>
        <w:top w:val="none" w:sz="0" w:space="0" w:color="auto"/>
        <w:left w:val="none" w:sz="0" w:space="0" w:color="auto"/>
        <w:bottom w:val="none" w:sz="0" w:space="0" w:color="auto"/>
        <w:right w:val="none" w:sz="0" w:space="0" w:color="auto"/>
      </w:divBdr>
      <w:divsChild>
        <w:div w:id="583414322">
          <w:marLeft w:val="0"/>
          <w:marRight w:val="0"/>
          <w:marTop w:val="0"/>
          <w:marBottom w:val="0"/>
          <w:divBdr>
            <w:top w:val="none" w:sz="0" w:space="0" w:color="auto"/>
            <w:left w:val="none" w:sz="0" w:space="0" w:color="auto"/>
            <w:bottom w:val="none" w:sz="0" w:space="0" w:color="auto"/>
            <w:right w:val="none" w:sz="0" w:space="0" w:color="auto"/>
          </w:divBdr>
          <w:divsChild>
            <w:div w:id="700593627">
              <w:marLeft w:val="0"/>
              <w:marRight w:val="0"/>
              <w:marTop w:val="0"/>
              <w:marBottom w:val="0"/>
              <w:divBdr>
                <w:top w:val="none" w:sz="0" w:space="0" w:color="auto"/>
                <w:left w:val="none" w:sz="0" w:space="0" w:color="auto"/>
                <w:bottom w:val="none" w:sz="0" w:space="0" w:color="auto"/>
                <w:right w:val="none" w:sz="0" w:space="0" w:color="auto"/>
              </w:divBdr>
              <w:divsChild>
                <w:div w:id="971206451">
                  <w:marLeft w:val="0"/>
                  <w:marRight w:val="0"/>
                  <w:marTop w:val="0"/>
                  <w:marBottom w:val="0"/>
                  <w:divBdr>
                    <w:top w:val="none" w:sz="0" w:space="0" w:color="auto"/>
                    <w:left w:val="none" w:sz="0" w:space="0" w:color="auto"/>
                    <w:bottom w:val="none" w:sz="0" w:space="0" w:color="auto"/>
                    <w:right w:val="none" w:sz="0" w:space="0" w:color="auto"/>
                  </w:divBdr>
                  <w:divsChild>
                    <w:div w:id="19658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9675">
          <w:marLeft w:val="0"/>
          <w:marRight w:val="0"/>
          <w:marTop w:val="0"/>
          <w:marBottom w:val="0"/>
          <w:divBdr>
            <w:top w:val="none" w:sz="0" w:space="0" w:color="auto"/>
            <w:left w:val="none" w:sz="0" w:space="0" w:color="auto"/>
            <w:bottom w:val="none" w:sz="0" w:space="0" w:color="auto"/>
            <w:right w:val="none" w:sz="0" w:space="0" w:color="auto"/>
          </w:divBdr>
          <w:divsChild>
            <w:div w:id="1946769354">
              <w:marLeft w:val="0"/>
              <w:marRight w:val="0"/>
              <w:marTop w:val="0"/>
              <w:marBottom w:val="0"/>
              <w:divBdr>
                <w:top w:val="none" w:sz="0" w:space="0" w:color="auto"/>
                <w:left w:val="none" w:sz="0" w:space="0" w:color="auto"/>
                <w:bottom w:val="none" w:sz="0" w:space="0" w:color="auto"/>
                <w:right w:val="none" w:sz="0" w:space="0" w:color="auto"/>
              </w:divBdr>
              <w:divsChild>
                <w:div w:id="1674453718">
                  <w:marLeft w:val="0"/>
                  <w:marRight w:val="0"/>
                  <w:marTop w:val="0"/>
                  <w:marBottom w:val="0"/>
                  <w:divBdr>
                    <w:top w:val="none" w:sz="0" w:space="0" w:color="auto"/>
                    <w:left w:val="none" w:sz="0" w:space="0" w:color="auto"/>
                    <w:bottom w:val="none" w:sz="0" w:space="0" w:color="auto"/>
                    <w:right w:val="none" w:sz="0" w:space="0" w:color="auto"/>
                  </w:divBdr>
                  <w:divsChild>
                    <w:div w:id="8859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4624">
      <w:bodyDiv w:val="1"/>
      <w:marLeft w:val="0"/>
      <w:marRight w:val="0"/>
      <w:marTop w:val="0"/>
      <w:marBottom w:val="0"/>
      <w:divBdr>
        <w:top w:val="none" w:sz="0" w:space="0" w:color="auto"/>
        <w:left w:val="none" w:sz="0" w:space="0" w:color="auto"/>
        <w:bottom w:val="none" w:sz="0" w:space="0" w:color="auto"/>
        <w:right w:val="none" w:sz="0" w:space="0" w:color="auto"/>
      </w:divBdr>
    </w:div>
    <w:div w:id="1272055648">
      <w:bodyDiv w:val="1"/>
      <w:marLeft w:val="0"/>
      <w:marRight w:val="0"/>
      <w:marTop w:val="0"/>
      <w:marBottom w:val="0"/>
      <w:divBdr>
        <w:top w:val="none" w:sz="0" w:space="0" w:color="auto"/>
        <w:left w:val="none" w:sz="0" w:space="0" w:color="auto"/>
        <w:bottom w:val="none" w:sz="0" w:space="0" w:color="auto"/>
        <w:right w:val="none" w:sz="0" w:space="0" w:color="auto"/>
      </w:divBdr>
    </w:div>
    <w:div w:id="1291129022">
      <w:bodyDiv w:val="1"/>
      <w:marLeft w:val="0"/>
      <w:marRight w:val="0"/>
      <w:marTop w:val="0"/>
      <w:marBottom w:val="0"/>
      <w:divBdr>
        <w:top w:val="none" w:sz="0" w:space="0" w:color="auto"/>
        <w:left w:val="none" w:sz="0" w:space="0" w:color="auto"/>
        <w:bottom w:val="none" w:sz="0" w:space="0" w:color="auto"/>
        <w:right w:val="none" w:sz="0" w:space="0" w:color="auto"/>
      </w:divBdr>
      <w:divsChild>
        <w:div w:id="736367556">
          <w:marLeft w:val="0"/>
          <w:marRight w:val="0"/>
          <w:marTop w:val="0"/>
          <w:marBottom w:val="0"/>
          <w:divBdr>
            <w:top w:val="none" w:sz="0" w:space="0" w:color="auto"/>
            <w:left w:val="none" w:sz="0" w:space="0" w:color="auto"/>
            <w:bottom w:val="none" w:sz="0" w:space="0" w:color="auto"/>
            <w:right w:val="none" w:sz="0" w:space="0" w:color="auto"/>
          </w:divBdr>
          <w:divsChild>
            <w:div w:id="1701053621">
              <w:marLeft w:val="0"/>
              <w:marRight w:val="0"/>
              <w:marTop w:val="0"/>
              <w:marBottom w:val="0"/>
              <w:divBdr>
                <w:top w:val="none" w:sz="0" w:space="0" w:color="auto"/>
                <w:left w:val="none" w:sz="0" w:space="0" w:color="auto"/>
                <w:bottom w:val="none" w:sz="0" w:space="0" w:color="auto"/>
                <w:right w:val="none" w:sz="0" w:space="0" w:color="auto"/>
              </w:divBdr>
              <w:divsChild>
                <w:div w:id="31348258">
                  <w:marLeft w:val="0"/>
                  <w:marRight w:val="0"/>
                  <w:marTop w:val="0"/>
                  <w:marBottom w:val="0"/>
                  <w:divBdr>
                    <w:top w:val="none" w:sz="0" w:space="0" w:color="auto"/>
                    <w:left w:val="none" w:sz="0" w:space="0" w:color="auto"/>
                    <w:bottom w:val="none" w:sz="0" w:space="0" w:color="auto"/>
                    <w:right w:val="none" w:sz="0" w:space="0" w:color="auto"/>
                  </w:divBdr>
                  <w:divsChild>
                    <w:div w:id="1177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53459">
      <w:bodyDiv w:val="1"/>
      <w:marLeft w:val="0"/>
      <w:marRight w:val="0"/>
      <w:marTop w:val="0"/>
      <w:marBottom w:val="0"/>
      <w:divBdr>
        <w:top w:val="none" w:sz="0" w:space="0" w:color="auto"/>
        <w:left w:val="none" w:sz="0" w:space="0" w:color="auto"/>
        <w:bottom w:val="none" w:sz="0" w:space="0" w:color="auto"/>
        <w:right w:val="none" w:sz="0" w:space="0" w:color="auto"/>
      </w:divBdr>
    </w:div>
    <w:div w:id="1314330341">
      <w:bodyDiv w:val="1"/>
      <w:marLeft w:val="0"/>
      <w:marRight w:val="0"/>
      <w:marTop w:val="0"/>
      <w:marBottom w:val="0"/>
      <w:divBdr>
        <w:top w:val="none" w:sz="0" w:space="0" w:color="auto"/>
        <w:left w:val="none" w:sz="0" w:space="0" w:color="auto"/>
        <w:bottom w:val="none" w:sz="0" w:space="0" w:color="auto"/>
        <w:right w:val="none" w:sz="0" w:space="0" w:color="auto"/>
      </w:divBdr>
      <w:divsChild>
        <w:div w:id="1552619080">
          <w:marLeft w:val="0"/>
          <w:marRight w:val="0"/>
          <w:marTop w:val="0"/>
          <w:marBottom w:val="0"/>
          <w:divBdr>
            <w:top w:val="none" w:sz="0" w:space="0" w:color="auto"/>
            <w:left w:val="none" w:sz="0" w:space="0" w:color="auto"/>
            <w:bottom w:val="none" w:sz="0" w:space="0" w:color="auto"/>
            <w:right w:val="none" w:sz="0" w:space="0" w:color="auto"/>
          </w:divBdr>
          <w:divsChild>
            <w:div w:id="879704207">
              <w:marLeft w:val="0"/>
              <w:marRight w:val="0"/>
              <w:marTop w:val="0"/>
              <w:marBottom w:val="0"/>
              <w:divBdr>
                <w:top w:val="none" w:sz="0" w:space="0" w:color="auto"/>
                <w:left w:val="none" w:sz="0" w:space="0" w:color="auto"/>
                <w:bottom w:val="none" w:sz="0" w:space="0" w:color="auto"/>
                <w:right w:val="none" w:sz="0" w:space="0" w:color="auto"/>
              </w:divBdr>
              <w:divsChild>
                <w:div w:id="381254059">
                  <w:marLeft w:val="0"/>
                  <w:marRight w:val="0"/>
                  <w:marTop w:val="0"/>
                  <w:marBottom w:val="0"/>
                  <w:divBdr>
                    <w:top w:val="none" w:sz="0" w:space="0" w:color="auto"/>
                    <w:left w:val="none" w:sz="0" w:space="0" w:color="auto"/>
                    <w:bottom w:val="none" w:sz="0" w:space="0" w:color="auto"/>
                    <w:right w:val="none" w:sz="0" w:space="0" w:color="auto"/>
                  </w:divBdr>
                  <w:divsChild>
                    <w:div w:id="1021976922">
                      <w:marLeft w:val="0"/>
                      <w:marRight w:val="0"/>
                      <w:marTop w:val="0"/>
                      <w:marBottom w:val="0"/>
                      <w:divBdr>
                        <w:top w:val="none" w:sz="0" w:space="0" w:color="auto"/>
                        <w:left w:val="none" w:sz="0" w:space="0" w:color="auto"/>
                        <w:bottom w:val="none" w:sz="0" w:space="0" w:color="auto"/>
                        <w:right w:val="none" w:sz="0" w:space="0" w:color="auto"/>
                      </w:divBdr>
                      <w:divsChild>
                        <w:div w:id="1252201391">
                          <w:marLeft w:val="0"/>
                          <w:marRight w:val="0"/>
                          <w:marTop w:val="0"/>
                          <w:marBottom w:val="0"/>
                          <w:divBdr>
                            <w:top w:val="none" w:sz="0" w:space="0" w:color="auto"/>
                            <w:left w:val="none" w:sz="0" w:space="0" w:color="auto"/>
                            <w:bottom w:val="none" w:sz="0" w:space="0" w:color="auto"/>
                            <w:right w:val="none" w:sz="0" w:space="0" w:color="auto"/>
                          </w:divBdr>
                          <w:divsChild>
                            <w:div w:id="11963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982236">
      <w:bodyDiv w:val="1"/>
      <w:marLeft w:val="0"/>
      <w:marRight w:val="0"/>
      <w:marTop w:val="0"/>
      <w:marBottom w:val="0"/>
      <w:divBdr>
        <w:top w:val="none" w:sz="0" w:space="0" w:color="auto"/>
        <w:left w:val="none" w:sz="0" w:space="0" w:color="auto"/>
        <w:bottom w:val="none" w:sz="0" w:space="0" w:color="auto"/>
        <w:right w:val="none" w:sz="0" w:space="0" w:color="auto"/>
      </w:divBdr>
    </w:div>
    <w:div w:id="1336422166">
      <w:bodyDiv w:val="1"/>
      <w:marLeft w:val="0"/>
      <w:marRight w:val="0"/>
      <w:marTop w:val="0"/>
      <w:marBottom w:val="0"/>
      <w:divBdr>
        <w:top w:val="none" w:sz="0" w:space="0" w:color="auto"/>
        <w:left w:val="none" w:sz="0" w:space="0" w:color="auto"/>
        <w:bottom w:val="none" w:sz="0" w:space="0" w:color="auto"/>
        <w:right w:val="none" w:sz="0" w:space="0" w:color="auto"/>
      </w:divBdr>
    </w:div>
    <w:div w:id="1373503812">
      <w:bodyDiv w:val="1"/>
      <w:marLeft w:val="0"/>
      <w:marRight w:val="0"/>
      <w:marTop w:val="0"/>
      <w:marBottom w:val="0"/>
      <w:divBdr>
        <w:top w:val="none" w:sz="0" w:space="0" w:color="auto"/>
        <w:left w:val="none" w:sz="0" w:space="0" w:color="auto"/>
        <w:bottom w:val="none" w:sz="0" w:space="0" w:color="auto"/>
        <w:right w:val="none" w:sz="0" w:space="0" w:color="auto"/>
      </w:divBdr>
    </w:div>
    <w:div w:id="1379402886">
      <w:bodyDiv w:val="1"/>
      <w:marLeft w:val="0"/>
      <w:marRight w:val="0"/>
      <w:marTop w:val="0"/>
      <w:marBottom w:val="0"/>
      <w:divBdr>
        <w:top w:val="none" w:sz="0" w:space="0" w:color="auto"/>
        <w:left w:val="none" w:sz="0" w:space="0" w:color="auto"/>
        <w:bottom w:val="none" w:sz="0" w:space="0" w:color="auto"/>
        <w:right w:val="none" w:sz="0" w:space="0" w:color="auto"/>
      </w:divBdr>
    </w:div>
    <w:div w:id="1382558694">
      <w:bodyDiv w:val="1"/>
      <w:marLeft w:val="0"/>
      <w:marRight w:val="0"/>
      <w:marTop w:val="0"/>
      <w:marBottom w:val="0"/>
      <w:divBdr>
        <w:top w:val="none" w:sz="0" w:space="0" w:color="auto"/>
        <w:left w:val="none" w:sz="0" w:space="0" w:color="auto"/>
        <w:bottom w:val="none" w:sz="0" w:space="0" w:color="auto"/>
        <w:right w:val="none" w:sz="0" w:space="0" w:color="auto"/>
      </w:divBdr>
    </w:div>
    <w:div w:id="1412775187">
      <w:bodyDiv w:val="1"/>
      <w:marLeft w:val="0"/>
      <w:marRight w:val="0"/>
      <w:marTop w:val="0"/>
      <w:marBottom w:val="0"/>
      <w:divBdr>
        <w:top w:val="none" w:sz="0" w:space="0" w:color="auto"/>
        <w:left w:val="none" w:sz="0" w:space="0" w:color="auto"/>
        <w:bottom w:val="none" w:sz="0" w:space="0" w:color="auto"/>
        <w:right w:val="none" w:sz="0" w:space="0" w:color="auto"/>
      </w:divBdr>
    </w:div>
    <w:div w:id="1425567817">
      <w:bodyDiv w:val="1"/>
      <w:marLeft w:val="0"/>
      <w:marRight w:val="0"/>
      <w:marTop w:val="0"/>
      <w:marBottom w:val="0"/>
      <w:divBdr>
        <w:top w:val="none" w:sz="0" w:space="0" w:color="auto"/>
        <w:left w:val="none" w:sz="0" w:space="0" w:color="auto"/>
        <w:bottom w:val="none" w:sz="0" w:space="0" w:color="auto"/>
        <w:right w:val="none" w:sz="0" w:space="0" w:color="auto"/>
      </w:divBdr>
    </w:div>
    <w:div w:id="1461848303">
      <w:bodyDiv w:val="1"/>
      <w:marLeft w:val="0"/>
      <w:marRight w:val="0"/>
      <w:marTop w:val="0"/>
      <w:marBottom w:val="0"/>
      <w:divBdr>
        <w:top w:val="none" w:sz="0" w:space="0" w:color="auto"/>
        <w:left w:val="none" w:sz="0" w:space="0" w:color="auto"/>
        <w:bottom w:val="none" w:sz="0" w:space="0" w:color="auto"/>
        <w:right w:val="none" w:sz="0" w:space="0" w:color="auto"/>
      </w:divBdr>
    </w:div>
    <w:div w:id="1477062150">
      <w:bodyDiv w:val="1"/>
      <w:marLeft w:val="0"/>
      <w:marRight w:val="0"/>
      <w:marTop w:val="0"/>
      <w:marBottom w:val="0"/>
      <w:divBdr>
        <w:top w:val="none" w:sz="0" w:space="0" w:color="auto"/>
        <w:left w:val="none" w:sz="0" w:space="0" w:color="auto"/>
        <w:bottom w:val="none" w:sz="0" w:space="0" w:color="auto"/>
        <w:right w:val="none" w:sz="0" w:space="0" w:color="auto"/>
      </w:divBdr>
    </w:div>
    <w:div w:id="1481919580">
      <w:bodyDiv w:val="1"/>
      <w:marLeft w:val="0"/>
      <w:marRight w:val="0"/>
      <w:marTop w:val="0"/>
      <w:marBottom w:val="0"/>
      <w:divBdr>
        <w:top w:val="none" w:sz="0" w:space="0" w:color="auto"/>
        <w:left w:val="none" w:sz="0" w:space="0" w:color="auto"/>
        <w:bottom w:val="none" w:sz="0" w:space="0" w:color="auto"/>
        <w:right w:val="none" w:sz="0" w:space="0" w:color="auto"/>
      </w:divBdr>
    </w:div>
    <w:div w:id="1512987464">
      <w:bodyDiv w:val="1"/>
      <w:marLeft w:val="0"/>
      <w:marRight w:val="0"/>
      <w:marTop w:val="0"/>
      <w:marBottom w:val="0"/>
      <w:divBdr>
        <w:top w:val="none" w:sz="0" w:space="0" w:color="auto"/>
        <w:left w:val="none" w:sz="0" w:space="0" w:color="auto"/>
        <w:bottom w:val="none" w:sz="0" w:space="0" w:color="auto"/>
        <w:right w:val="none" w:sz="0" w:space="0" w:color="auto"/>
      </w:divBdr>
    </w:div>
    <w:div w:id="1532917732">
      <w:bodyDiv w:val="1"/>
      <w:marLeft w:val="0"/>
      <w:marRight w:val="0"/>
      <w:marTop w:val="0"/>
      <w:marBottom w:val="0"/>
      <w:divBdr>
        <w:top w:val="none" w:sz="0" w:space="0" w:color="auto"/>
        <w:left w:val="none" w:sz="0" w:space="0" w:color="auto"/>
        <w:bottom w:val="none" w:sz="0" w:space="0" w:color="auto"/>
        <w:right w:val="none" w:sz="0" w:space="0" w:color="auto"/>
      </w:divBdr>
    </w:div>
    <w:div w:id="1539970145">
      <w:bodyDiv w:val="1"/>
      <w:marLeft w:val="0"/>
      <w:marRight w:val="0"/>
      <w:marTop w:val="0"/>
      <w:marBottom w:val="0"/>
      <w:divBdr>
        <w:top w:val="none" w:sz="0" w:space="0" w:color="auto"/>
        <w:left w:val="none" w:sz="0" w:space="0" w:color="auto"/>
        <w:bottom w:val="none" w:sz="0" w:space="0" w:color="auto"/>
        <w:right w:val="none" w:sz="0" w:space="0" w:color="auto"/>
      </w:divBdr>
    </w:div>
    <w:div w:id="1541627472">
      <w:bodyDiv w:val="1"/>
      <w:marLeft w:val="0"/>
      <w:marRight w:val="0"/>
      <w:marTop w:val="0"/>
      <w:marBottom w:val="0"/>
      <w:divBdr>
        <w:top w:val="none" w:sz="0" w:space="0" w:color="auto"/>
        <w:left w:val="none" w:sz="0" w:space="0" w:color="auto"/>
        <w:bottom w:val="none" w:sz="0" w:space="0" w:color="auto"/>
        <w:right w:val="none" w:sz="0" w:space="0" w:color="auto"/>
      </w:divBdr>
    </w:div>
    <w:div w:id="1548567254">
      <w:bodyDiv w:val="1"/>
      <w:marLeft w:val="0"/>
      <w:marRight w:val="0"/>
      <w:marTop w:val="0"/>
      <w:marBottom w:val="0"/>
      <w:divBdr>
        <w:top w:val="none" w:sz="0" w:space="0" w:color="auto"/>
        <w:left w:val="none" w:sz="0" w:space="0" w:color="auto"/>
        <w:bottom w:val="none" w:sz="0" w:space="0" w:color="auto"/>
        <w:right w:val="none" w:sz="0" w:space="0" w:color="auto"/>
      </w:divBdr>
    </w:div>
    <w:div w:id="1574700208">
      <w:bodyDiv w:val="1"/>
      <w:marLeft w:val="0"/>
      <w:marRight w:val="0"/>
      <w:marTop w:val="0"/>
      <w:marBottom w:val="0"/>
      <w:divBdr>
        <w:top w:val="none" w:sz="0" w:space="0" w:color="auto"/>
        <w:left w:val="none" w:sz="0" w:space="0" w:color="auto"/>
        <w:bottom w:val="none" w:sz="0" w:space="0" w:color="auto"/>
        <w:right w:val="none" w:sz="0" w:space="0" w:color="auto"/>
      </w:divBdr>
    </w:div>
    <w:div w:id="1579637518">
      <w:bodyDiv w:val="1"/>
      <w:marLeft w:val="0"/>
      <w:marRight w:val="0"/>
      <w:marTop w:val="0"/>
      <w:marBottom w:val="0"/>
      <w:divBdr>
        <w:top w:val="none" w:sz="0" w:space="0" w:color="auto"/>
        <w:left w:val="none" w:sz="0" w:space="0" w:color="auto"/>
        <w:bottom w:val="none" w:sz="0" w:space="0" w:color="auto"/>
        <w:right w:val="none" w:sz="0" w:space="0" w:color="auto"/>
      </w:divBdr>
    </w:div>
    <w:div w:id="1588034192">
      <w:bodyDiv w:val="1"/>
      <w:marLeft w:val="0"/>
      <w:marRight w:val="0"/>
      <w:marTop w:val="0"/>
      <w:marBottom w:val="0"/>
      <w:divBdr>
        <w:top w:val="none" w:sz="0" w:space="0" w:color="auto"/>
        <w:left w:val="none" w:sz="0" w:space="0" w:color="auto"/>
        <w:bottom w:val="none" w:sz="0" w:space="0" w:color="auto"/>
        <w:right w:val="none" w:sz="0" w:space="0" w:color="auto"/>
      </w:divBdr>
      <w:divsChild>
        <w:div w:id="874343266">
          <w:marLeft w:val="0"/>
          <w:marRight w:val="0"/>
          <w:marTop w:val="0"/>
          <w:marBottom w:val="0"/>
          <w:divBdr>
            <w:top w:val="none" w:sz="0" w:space="0" w:color="auto"/>
            <w:left w:val="none" w:sz="0" w:space="0" w:color="auto"/>
            <w:bottom w:val="none" w:sz="0" w:space="0" w:color="auto"/>
            <w:right w:val="none" w:sz="0" w:space="0" w:color="auto"/>
          </w:divBdr>
          <w:divsChild>
            <w:div w:id="1750731655">
              <w:marLeft w:val="0"/>
              <w:marRight w:val="0"/>
              <w:marTop w:val="0"/>
              <w:marBottom w:val="0"/>
              <w:divBdr>
                <w:top w:val="none" w:sz="0" w:space="0" w:color="auto"/>
                <w:left w:val="none" w:sz="0" w:space="0" w:color="auto"/>
                <w:bottom w:val="none" w:sz="0" w:space="0" w:color="auto"/>
                <w:right w:val="none" w:sz="0" w:space="0" w:color="auto"/>
              </w:divBdr>
              <w:divsChild>
                <w:div w:id="376123361">
                  <w:marLeft w:val="0"/>
                  <w:marRight w:val="0"/>
                  <w:marTop w:val="0"/>
                  <w:marBottom w:val="0"/>
                  <w:divBdr>
                    <w:top w:val="none" w:sz="0" w:space="0" w:color="auto"/>
                    <w:left w:val="none" w:sz="0" w:space="0" w:color="auto"/>
                    <w:bottom w:val="none" w:sz="0" w:space="0" w:color="auto"/>
                    <w:right w:val="none" w:sz="0" w:space="0" w:color="auto"/>
                  </w:divBdr>
                  <w:divsChild>
                    <w:div w:id="17972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04394">
          <w:marLeft w:val="0"/>
          <w:marRight w:val="0"/>
          <w:marTop w:val="0"/>
          <w:marBottom w:val="0"/>
          <w:divBdr>
            <w:top w:val="none" w:sz="0" w:space="0" w:color="auto"/>
            <w:left w:val="none" w:sz="0" w:space="0" w:color="auto"/>
            <w:bottom w:val="none" w:sz="0" w:space="0" w:color="auto"/>
            <w:right w:val="none" w:sz="0" w:space="0" w:color="auto"/>
          </w:divBdr>
          <w:divsChild>
            <w:div w:id="66266952">
              <w:marLeft w:val="0"/>
              <w:marRight w:val="0"/>
              <w:marTop w:val="0"/>
              <w:marBottom w:val="0"/>
              <w:divBdr>
                <w:top w:val="none" w:sz="0" w:space="0" w:color="auto"/>
                <w:left w:val="none" w:sz="0" w:space="0" w:color="auto"/>
                <w:bottom w:val="none" w:sz="0" w:space="0" w:color="auto"/>
                <w:right w:val="none" w:sz="0" w:space="0" w:color="auto"/>
              </w:divBdr>
              <w:divsChild>
                <w:div w:id="1642152411">
                  <w:marLeft w:val="0"/>
                  <w:marRight w:val="0"/>
                  <w:marTop w:val="0"/>
                  <w:marBottom w:val="0"/>
                  <w:divBdr>
                    <w:top w:val="none" w:sz="0" w:space="0" w:color="auto"/>
                    <w:left w:val="none" w:sz="0" w:space="0" w:color="auto"/>
                    <w:bottom w:val="none" w:sz="0" w:space="0" w:color="auto"/>
                    <w:right w:val="none" w:sz="0" w:space="0" w:color="auto"/>
                  </w:divBdr>
                  <w:divsChild>
                    <w:div w:id="12140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65808">
      <w:bodyDiv w:val="1"/>
      <w:marLeft w:val="0"/>
      <w:marRight w:val="0"/>
      <w:marTop w:val="0"/>
      <w:marBottom w:val="0"/>
      <w:divBdr>
        <w:top w:val="none" w:sz="0" w:space="0" w:color="auto"/>
        <w:left w:val="none" w:sz="0" w:space="0" w:color="auto"/>
        <w:bottom w:val="none" w:sz="0" w:space="0" w:color="auto"/>
        <w:right w:val="none" w:sz="0" w:space="0" w:color="auto"/>
      </w:divBdr>
    </w:div>
    <w:div w:id="1646663421">
      <w:bodyDiv w:val="1"/>
      <w:marLeft w:val="0"/>
      <w:marRight w:val="0"/>
      <w:marTop w:val="0"/>
      <w:marBottom w:val="0"/>
      <w:divBdr>
        <w:top w:val="none" w:sz="0" w:space="0" w:color="auto"/>
        <w:left w:val="none" w:sz="0" w:space="0" w:color="auto"/>
        <w:bottom w:val="none" w:sz="0" w:space="0" w:color="auto"/>
        <w:right w:val="none" w:sz="0" w:space="0" w:color="auto"/>
      </w:divBdr>
    </w:div>
    <w:div w:id="1649550673">
      <w:bodyDiv w:val="1"/>
      <w:marLeft w:val="0"/>
      <w:marRight w:val="0"/>
      <w:marTop w:val="0"/>
      <w:marBottom w:val="0"/>
      <w:divBdr>
        <w:top w:val="none" w:sz="0" w:space="0" w:color="auto"/>
        <w:left w:val="none" w:sz="0" w:space="0" w:color="auto"/>
        <w:bottom w:val="none" w:sz="0" w:space="0" w:color="auto"/>
        <w:right w:val="none" w:sz="0" w:space="0" w:color="auto"/>
      </w:divBdr>
    </w:div>
    <w:div w:id="1660184547">
      <w:bodyDiv w:val="1"/>
      <w:marLeft w:val="0"/>
      <w:marRight w:val="0"/>
      <w:marTop w:val="0"/>
      <w:marBottom w:val="0"/>
      <w:divBdr>
        <w:top w:val="none" w:sz="0" w:space="0" w:color="auto"/>
        <w:left w:val="none" w:sz="0" w:space="0" w:color="auto"/>
        <w:bottom w:val="none" w:sz="0" w:space="0" w:color="auto"/>
        <w:right w:val="none" w:sz="0" w:space="0" w:color="auto"/>
      </w:divBdr>
    </w:div>
    <w:div w:id="1670594868">
      <w:bodyDiv w:val="1"/>
      <w:marLeft w:val="0"/>
      <w:marRight w:val="0"/>
      <w:marTop w:val="0"/>
      <w:marBottom w:val="0"/>
      <w:divBdr>
        <w:top w:val="none" w:sz="0" w:space="0" w:color="auto"/>
        <w:left w:val="none" w:sz="0" w:space="0" w:color="auto"/>
        <w:bottom w:val="none" w:sz="0" w:space="0" w:color="auto"/>
        <w:right w:val="none" w:sz="0" w:space="0" w:color="auto"/>
      </w:divBdr>
    </w:div>
    <w:div w:id="1675109703">
      <w:bodyDiv w:val="1"/>
      <w:marLeft w:val="0"/>
      <w:marRight w:val="0"/>
      <w:marTop w:val="0"/>
      <w:marBottom w:val="0"/>
      <w:divBdr>
        <w:top w:val="none" w:sz="0" w:space="0" w:color="auto"/>
        <w:left w:val="none" w:sz="0" w:space="0" w:color="auto"/>
        <w:bottom w:val="none" w:sz="0" w:space="0" w:color="auto"/>
        <w:right w:val="none" w:sz="0" w:space="0" w:color="auto"/>
      </w:divBdr>
    </w:div>
    <w:div w:id="1675375046">
      <w:bodyDiv w:val="1"/>
      <w:marLeft w:val="0"/>
      <w:marRight w:val="0"/>
      <w:marTop w:val="0"/>
      <w:marBottom w:val="0"/>
      <w:divBdr>
        <w:top w:val="none" w:sz="0" w:space="0" w:color="auto"/>
        <w:left w:val="none" w:sz="0" w:space="0" w:color="auto"/>
        <w:bottom w:val="none" w:sz="0" w:space="0" w:color="auto"/>
        <w:right w:val="none" w:sz="0" w:space="0" w:color="auto"/>
      </w:divBdr>
      <w:divsChild>
        <w:div w:id="283271034">
          <w:marLeft w:val="0"/>
          <w:marRight w:val="0"/>
          <w:marTop w:val="0"/>
          <w:marBottom w:val="0"/>
          <w:divBdr>
            <w:top w:val="none" w:sz="0" w:space="0" w:color="auto"/>
            <w:left w:val="none" w:sz="0" w:space="0" w:color="auto"/>
            <w:bottom w:val="none" w:sz="0" w:space="0" w:color="auto"/>
            <w:right w:val="none" w:sz="0" w:space="0" w:color="auto"/>
          </w:divBdr>
          <w:divsChild>
            <w:div w:id="469174520">
              <w:marLeft w:val="0"/>
              <w:marRight w:val="0"/>
              <w:marTop w:val="0"/>
              <w:marBottom w:val="0"/>
              <w:divBdr>
                <w:top w:val="none" w:sz="0" w:space="0" w:color="auto"/>
                <w:left w:val="none" w:sz="0" w:space="0" w:color="auto"/>
                <w:bottom w:val="none" w:sz="0" w:space="0" w:color="auto"/>
                <w:right w:val="none" w:sz="0" w:space="0" w:color="auto"/>
              </w:divBdr>
              <w:divsChild>
                <w:div w:id="1887637692">
                  <w:marLeft w:val="0"/>
                  <w:marRight w:val="0"/>
                  <w:marTop w:val="0"/>
                  <w:marBottom w:val="0"/>
                  <w:divBdr>
                    <w:top w:val="none" w:sz="0" w:space="0" w:color="auto"/>
                    <w:left w:val="none" w:sz="0" w:space="0" w:color="auto"/>
                    <w:bottom w:val="none" w:sz="0" w:space="0" w:color="auto"/>
                    <w:right w:val="none" w:sz="0" w:space="0" w:color="auto"/>
                  </w:divBdr>
                  <w:divsChild>
                    <w:div w:id="3326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11701">
      <w:bodyDiv w:val="1"/>
      <w:marLeft w:val="0"/>
      <w:marRight w:val="0"/>
      <w:marTop w:val="0"/>
      <w:marBottom w:val="0"/>
      <w:divBdr>
        <w:top w:val="none" w:sz="0" w:space="0" w:color="auto"/>
        <w:left w:val="none" w:sz="0" w:space="0" w:color="auto"/>
        <w:bottom w:val="none" w:sz="0" w:space="0" w:color="auto"/>
        <w:right w:val="none" w:sz="0" w:space="0" w:color="auto"/>
      </w:divBdr>
    </w:div>
    <w:div w:id="1694190865">
      <w:bodyDiv w:val="1"/>
      <w:marLeft w:val="0"/>
      <w:marRight w:val="0"/>
      <w:marTop w:val="0"/>
      <w:marBottom w:val="0"/>
      <w:divBdr>
        <w:top w:val="none" w:sz="0" w:space="0" w:color="auto"/>
        <w:left w:val="none" w:sz="0" w:space="0" w:color="auto"/>
        <w:bottom w:val="none" w:sz="0" w:space="0" w:color="auto"/>
        <w:right w:val="none" w:sz="0" w:space="0" w:color="auto"/>
      </w:divBdr>
    </w:div>
    <w:div w:id="1706710919">
      <w:bodyDiv w:val="1"/>
      <w:marLeft w:val="0"/>
      <w:marRight w:val="0"/>
      <w:marTop w:val="0"/>
      <w:marBottom w:val="0"/>
      <w:divBdr>
        <w:top w:val="none" w:sz="0" w:space="0" w:color="auto"/>
        <w:left w:val="none" w:sz="0" w:space="0" w:color="auto"/>
        <w:bottom w:val="none" w:sz="0" w:space="0" w:color="auto"/>
        <w:right w:val="none" w:sz="0" w:space="0" w:color="auto"/>
      </w:divBdr>
    </w:div>
    <w:div w:id="1715079519">
      <w:bodyDiv w:val="1"/>
      <w:marLeft w:val="0"/>
      <w:marRight w:val="0"/>
      <w:marTop w:val="0"/>
      <w:marBottom w:val="0"/>
      <w:divBdr>
        <w:top w:val="none" w:sz="0" w:space="0" w:color="auto"/>
        <w:left w:val="none" w:sz="0" w:space="0" w:color="auto"/>
        <w:bottom w:val="none" w:sz="0" w:space="0" w:color="auto"/>
        <w:right w:val="none" w:sz="0" w:space="0" w:color="auto"/>
      </w:divBdr>
    </w:div>
    <w:div w:id="1727677342">
      <w:bodyDiv w:val="1"/>
      <w:marLeft w:val="0"/>
      <w:marRight w:val="0"/>
      <w:marTop w:val="0"/>
      <w:marBottom w:val="0"/>
      <w:divBdr>
        <w:top w:val="none" w:sz="0" w:space="0" w:color="auto"/>
        <w:left w:val="none" w:sz="0" w:space="0" w:color="auto"/>
        <w:bottom w:val="none" w:sz="0" w:space="0" w:color="auto"/>
        <w:right w:val="none" w:sz="0" w:space="0" w:color="auto"/>
      </w:divBdr>
    </w:div>
    <w:div w:id="1744447111">
      <w:bodyDiv w:val="1"/>
      <w:marLeft w:val="0"/>
      <w:marRight w:val="0"/>
      <w:marTop w:val="0"/>
      <w:marBottom w:val="0"/>
      <w:divBdr>
        <w:top w:val="none" w:sz="0" w:space="0" w:color="auto"/>
        <w:left w:val="none" w:sz="0" w:space="0" w:color="auto"/>
        <w:bottom w:val="none" w:sz="0" w:space="0" w:color="auto"/>
        <w:right w:val="none" w:sz="0" w:space="0" w:color="auto"/>
      </w:divBdr>
    </w:div>
    <w:div w:id="1754426994">
      <w:bodyDiv w:val="1"/>
      <w:marLeft w:val="0"/>
      <w:marRight w:val="0"/>
      <w:marTop w:val="0"/>
      <w:marBottom w:val="0"/>
      <w:divBdr>
        <w:top w:val="none" w:sz="0" w:space="0" w:color="auto"/>
        <w:left w:val="none" w:sz="0" w:space="0" w:color="auto"/>
        <w:bottom w:val="none" w:sz="0" w:space="0" w:color="auto"/>
        <w:right w:val="none" w:sz="0" w:space="0" w:color="auto"/>
      </w:divBdr>
    </w:div>
    <w:div w:id="1772234742">
      <w:bodyDiv w:val="1"/>
      <w:marLeft w:val="0"/>
      <w:marRight w:val="0"/>
      <w:marTop w:val="0"/>
      <w:marBottom w:val="0"/>
      <w:divBdr>
        <w:top w:val="none" w:sz="0" w:space="0" w:color="auto"/>
        <w:left w:val="none" w:sz="0" w:space="0" w:color="auto"/>
        <w:bottom w:val="none" w:sz="0" w:space="0" w:color="auto"/>
        <w:right w:val="none" w:sz="0" w:space="0" w:color="auto"/>
      </w:divBdr>
    </w:div>
    <w:div w:id="1783069413">
      <w:bodyDiv w:val="1"/>
      <w:marLeft w:val="0"/>
      <w:marRight w:val="0"/>
      <w:marTop w:val="0"/>
      <w:marBottom w:val="0"/>
      <w:divBdr>
        <w:top w:val="none" w:sz="0" w:space="0" w:color="auto"/>
        <w:left w:val="none" w:sz="0" w:space="0" w:color="auto"/>
        <w:bottom w:val="none" w:sz="0" w:space="0" w:color="auto"/>
        <w:right w:val="none" w:sz="0" w:space="0" w:color="auto"/>
      </w:divBdr>
    </w:div>
    <w:div w:id="1835756627">
      <w:bodyDiv w:val="1"/>
      <w:marLeft w:val="0"/>
      <w:marRight w:val="0"/>
      <w:marTop w:val="0"/>
      <w:marBottom w:val="0"/>
      <w:divBdr>
        <w:top w:val="none" w:sz="0" w:space="0" w:color="auto"/>
        <w:left w:val="none" w:sz="0" w:space="0" w:color="auto"/>
        <w:bottom w:val="none" w:sz="0" w:space="0" w:color="auto"/>
        <w:right w:val="none" w:sz="0" w:space="0" w:color="auto"/>
      </w:divBdr>
      <w:divsChild>
        <w:div w:id="436173185">
          <w:marLeft w:val="0"/>
          <w:marRight w:val="0"/>
          <w:marTop w:val="0"/>
          <w:marBottom w:val="0"/>
          <w:divBdr>
            <w:top w:val="none" w:sz="0" w:space="0" w:color="auto"/>
            <w:left w:val="none" w:sz="0" w:space="0" w:color="auto"/>
            <w:bottom w:val="none" w:sz="0" w:space="0" w:color="auto"/>
            <w:right w:val="none" w:sz="0" w:space="0" w:color="auto"/>
          </w:divBdr>
          <w:divsChild>
            <w:div w:id="1997031803">
              <w:marLeft w:val="0"/>
              <w:marRight w:val="0"/>
              <w:marTop w:val="0"/>
              <w:marBottom w:val="0"/>
              <w:divBdr>
                <w:top w:val="none" w:sz="0" w:space="0" w:color="auto"/>
                <w:left w:val="none" w:sz="0" w:space="0" w:color="auto"/>
                <w:bottom w:val="none" w:sz="0" w:space="0" w:color="auto"/>
                <w:right w:val="none" w:sz="0" w:space="0" w:color="auto"/>
              </w:divBdr>
              <w:divsChild>
                <w:div w:id="136340286">
                  <w:marLeft w:val="0"/>
                  <w:marRight w:val="0"/>
                  <w:marTop w:val="0"/>
                  <w:marBottom w:val="0"/>
                  <w:divBdr>
                    <w:top w:val="none" w:sz="0" w:space="0" w:color="auto"/>
                    <w:left w:val="none" w:sz="0" w:space="0" w:color="auto"/>
                    <w:bottom w:val="none" w:sz="0" w:space="0" w:color="auto"/>
                    <w:right w:val="none" w:sz="0" w:space="0" w:color="auto"/>
                  </w:divBdr>
                  <w:divsChild>
                    <w:div w:id="2034181703">
                      <w:marLeft w:val="0"/>
                      <w:marRight w:val="0"/>
                      <w:marTop w:val="0"/>
                      <w:marBottom w:val="0"/>
                      <w:divBdr>
                        <w:top w:val="none" w:sz="0" w:space="0" w:color="auto"/>
                        <w:left w:val="none" w:sz="0" w:space="0" w:color="auto"/>
                        <w:bottom w:val="none" w:sz="0" w:space="0" w:color="auto"/>
                        <w:right w:val="none" w:sz="0" w:space="0" w:color="auto"/>
                      </w:divBdr>
                      <w:divsChild>
                        <w:div w:id="485511367">
                          <w:marLeft w:val="0"/>
                          <w:marRight w:val="0"/>
                          <w:marTop w:val="0"/>
                          <w:marBottom w:val="0"/>
                          <w:divBdr>
                            <w:top w:val="none" w:sz="0" w:space="0" w:color="auto"/>
                            <w:left w:val="none" w:sz="0" w:space="0" w:color="auto"/>
                            <w:bottom w:val="none" w:sz="0" w:space="0" w:color="auto"/>
                            <w:right w:val="none" w:sz="0" w:space="0" w:color="auto"/>
                          </w:divBdr>
                          <w:divsChild>
                            <w:div w:id="15629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32233">
      <w:bodyDiv w:val="1"/>
      <w:marLeft w:val="0"/>
      <w:marRight w:val="0"/>
      <w:marTop w:val="0"/>
      <w:marBottom w:val="0"/>
      <w:divBdr>
        <w:top w:val="none" w:sz="0" w:space="0" w:color="auto"/>
        <w:left w:val="none" w:sz="0" w:space="0" w:color="auto"/>
        <w:bottom w:val="none" w:sz="0" w:space="0" w:color="auto"/>
        <w:right w:val="none" w:sz="0" w:space="0" w:color="auto"/>
      </w:divBdr>
    </w:div>
    <w:div w:id="1902018353">
      <w:bodyDiv w:val="1"/>
      <w:marLeft w:val="0"/>
      <w:marRight w:val="0"/>
      <w:marTop w:val="0"/>
      <w:marBottom w:val="0"/>
      <w:divBdr>
        <w:top w:val="none" w:sz="0" w:space="0" w:color="auto"/>
        <w:left w:val="none" w:sz="0" w:space="0" w:color="auto"/>
        <w:bottom w:val="none" w:sz="0" w:space="0" w:color="auto"/>
        <w:right w:val="none" w:sz="0" w:space="0" w:color="auto"/>
      </w:divBdr>
    </w:div>
    <w:div w:id="1925070783">
      <w:bodyDiv w:val="1"/>
      <w:marLeft w:val="0"/>
      <w:marRight w:val="0"/>
      <w:marTop w:val="0"/>
      <w:marBottom w:val="0"/>
      <w:divBdr>
        <w:top w:val="none" w:sz="0" w:space="0" w:color="auto"/>
        <w:left w:val="none" w:sz="0" w:space="0" w:color="auto"/>
        <w:bottom w:val="none" w:sz="0" w:space="0" w:color="auto"/>
        <w:right w:val="none" w:sz="0" w:space="0" w:color="auto"/>
      </w:divBdr>
    </w:div>
    <w:div w:id="1926110269">
      <w:bodyDiv w:val="1"/>
      <w:marLeft w:val="0"/>
      <w:marRight w:val="0"/>
      <w:marTop w:val="0"/>
      <w:marBottom w:val="0"/>
      <w:divBdr>
        <w:top w:val="none" w:sz="0" w:space="0" w:color="auto"/>
        <w:left w:val="none" w:sz="0" w:space="0" w:color="auto"/>
        <w:bottom w:val="none" w:sz="0" w:space="0" w:color="auto"/>
        <w:right w:val="none" w:sz="0" w:space="0" w:color="auto"/>
      </w:divBdr>
    </w:div>
    <w:div w:id="1952319647">
      <w:bodyDiv w:val="1"/>
      <w:marLeft w:val="0"/>
      <w:marRight w:val="0"/>
      <w:marTop w:val="0"/>
      <w:marBottom w:val="0"/>
      <w:divBdr>
        <w:top w:val="none" w:sz="0" w:space="0" w:color="auto"/>
        <w:left w:val="none" w:sz="0" w:space="0" w:color="auto"/>
        <w:bottom w:val="none" w:sz="0" w:space="0" w:color="auto"/>
        <w:right w:val="none" w:sz="0" w:space="0" w:color="auto"/>
      </w:divBdr>
    </w:div>
    <w:div w:id="1955284852">
      <w:bodyDiv w:val="1"/>
      <w:marLeft w:val="0"/>
      <w:marRight w:val="0"/>
      <w:marTop w:val="0"/>
      <w:marBottom w:val="0"/>
      <w:divBdr>
        <w:top w:val="none" w:sz="0" w:space="0" w:color="auto"/>
        <w:left w:val="none" w:sz="0" w:space="0" w:color="auto"/>
        <w:bottom w:val="none" w:sz="0" w:space="0" w:color="auto"/>
        <w:right w:val="none" w:sz="0" w:space="0" w:color="auto"/>
      </w:divBdr>
    </w:div>
    <w:div w:id="1961453327">
      <w:bodyDiv w:val="1"/>
      <w:marLeft w:val="0"/>
      <w:marRight w:val="0"/>
      <w:marTop w:val="0"/>
      <w:marBottom w:val="0"/>
      <w:divBdr>
        <w:top w:val="none" w:sz="0" w:space="0" w:color="auto"/>
        <w:left w:val="none" w:sz="0" w:space="0" w:color="auto"/>
        <w:bottom w:val="none" w:sz="0" w:space="0" w:color="auto"/>
        <w:right w:val="none" w:sz="0" w:space="0" w:color="auto"/>
      </w:divBdr>
      <w:divsChild>
        <w:div w:id="534655286">
          <w:marLeft w:val="0"/>
          <w:marRight w:val="0"/>
          <w:marTop w:val="0"/>
          <w:marBottom w:val="0"/>
          <w:divBdr>
            <w:top w:val="none" w:sz="0" w:space="0" w:color="auto"/>
            <w:left w:val="none" w:sz="0" w:space="0" w:color="auto"/>
            <w:bottom w:val="none" w:sz="0" w:space="0" w:color="auto"/>
            <w:right w:val="none" w:sz="0" w:space="0" w:color="auto"/>
          </w:divBdr>
          <w:divsChild>
            <w:div w:id="1180631231">
              <w:marLeft w:val="0"/>
              <w:marRight w:val="0"/>
              <w:marTop w:val="0"/>
              <w:marBottom w:val="0"/>
              <w:divBdr>
                <w:top w:val="none" w:sz="0" w:space="0" w:color="auto"/>
                <w:left w:val="none" w:sz="0" w:space="0" w:color="auto"/>
                <w:bottom w:val="none" w:sz="0" w:space="0" w:color="auto"/>
                <w:right w:val="none" w:sz="0" w:space="0" w:color="auto"/>
              </w:divBdr>
              <w:divsChild>
                <w:div w:id="1433941895">
                  <w:marLeft w:val="0"/>
                  <w:marRight w:val="0"/>
                  <w:marTop w:val="0"/>
                  <w:marBottom w:val="0"/>
                  <w:divBdr>
                    <w:top w:val="none" w:sz="0" w:space="0" w:color="auto"/>
                    <w:left w:val="none" w:sz="0" w:space="0" w:color="auto"/>
                    <w:bottom w:val="none" w:sz="0" w:space="0" w:color="auto"/>
                    <w:right w:val="none" w:sz="0" w:space="0" w:color="auto"/>
                  </w:divBdr>
                  <w:divsChild>
                    <w:div w:id="1533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64547">
          <w:marLeft w:val="0"/>
          <w:marRight w:val="0"/>
          <w:marTop w:val="0"/>
          <w:marBottom w:val="0"/>
          <w:divBdr>
            <w:top w:val="none" w:sz="0" w:space="0" w:color="auto"/>
            <w:left w:val="none" w:sz="0" w:space="0" w:color="auto"/>
            <w:bottom w:val="none" w:sz="0" w:space="0" w:color="auto"/>
            <w:right w:val="none" w:sz="0" w:space="0" w:color="auto"/>
          </w:divBdr>
          <w:divsChild>
            <w:div w:id="975064445">
              <w:marLeft w:val="0"/>
              <w:marRight w:val="0"/>
              <w:marTop w:val="0"/>
              <w:marBottom w:val="0"/>
              <w:divBdr>
                <w:top w:val="none" w:sz="0" w:space="0" w:color="auto"/>
                <w:left w:val="none" w:sz="0" w:space="0" w:color="auto"/>
                <w:bottom w:val="none" w:sz="0" w:space="0" w:color="auto"/>
                <w:right w:val="none" w:sz="0" w:space="0" w:color="auto"/>
              </w:divBdr>
              <w:divsChild>
                <w:div w:id="697505808">
                  <w:marLeft w:val="0"/>
                  <w:marRight w:val="0"/>
                  <w:marTop w:val="0"/>
                  <w:marBottom w:val="0"/>
                  <w:divBdr>
                    <w:top w:val="none" w:sz="0" w:space="0" w:color="auto"/>
                    <w:left w:val="none" w:sz="0" w:space="0" w:color="auto"/>
                    <w:bottom w:val="none" w:sz="0" w:space="0" w:color="auto"/>
                    <w:right w:val="none" w:sz="0" w:space="0" w:color="auto"/>
                  </w:divBdr>
                  <w:divsChild>
                    <w:div w:id="17751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160141">
      <w:bodyDiv w:val="1"/>
      <w:marLeft w:val="0"/>
      <w:marRight w:val="0"/>
      <w:marTop w:val="0"/>
      <w:marBottom w:val="0"/>
      <w:divBdr>
        <w:top w:val="none" w:sz="0" w:space="0" w:color="auto"/>
        <w:left w:val="none" w:sz="0" w:space="0" w:color="auto"/>
        <w:bottom w:val="none" w:sz="0" w:space="0" w:color="auto"/>
        <w:right w:val="none" w:sz="0" w:space="0" w:color="auto"/>
      </w:divBdr>
    </w:div>
    <w:div w:id="1970624580">
      <w:bodyDiv w:val="1"/>
      <w:marLeft w:val="0"/>
      <w:marRight w:val="0"/>
      <w:marTop w:val="0"/>
      <w:marBottom w:val="0"/>
      <w:divBdr>
        <w:top w:val="none" w:sz="0" w:space="0" w:color="auto"/>
        <w:left w:val="none" w:sz="0" w:space="0" w:color="auto"/>
        <w:bottom w:val="none" w:sz="0" w:space="0" w:color="auto"/>
        <w:right w:val="none" w:sz="0" w:space="0" w:color="auto"/>
      </w:divBdr>
    </w:div>
    <w:div w:id="1977903972">
      <w:bodyDiv w:val="1"/>
      <w:marLeft w:val="0"/>
      <w:marRight w:val="0"/>
      <w:marTop w:val="0"/>
      <w:marBottom w:val="0"/>
      <w:divBdr>
        <w:top w:val="none" w:sz="0" w:space="0" w:color="auto"/>
        <w:left w:val="none" w:sz="0" w:space="0" w:color="auto"/>
        <w:bottom w:val="none" w:sz="0" w:space="0" w:color="auto"/>
        <w:right w:val="none" w:sz="0" w:space="0" w:color="auto"/>
      </w:divBdr>
    </w:div>
    <w:div w:id="1981880015">
      <w:bodyDiv w:val="1"/>
      <w:marLeft w:val="0"/>
      <w:marRight w:val="0"/>
      <w:marTop w:val="0"/>
      <w:marBottom w:val="0"/>
      <w:divBdr>
        <w:top w:val="none" w:sz="0" w:space="0" w:color="auto"/>
        <w:left w:val="none" w:sz="0" w:space="0" w:color="auto"/>
        <w:bottom w:val="none" w:sz="0" w:space="0" w:color="auto"/>
        <w:right w:val="none" w:sz="0" w:space="0" w:color="auto"/>
      </w:divBdr>
    </w:div>
    <w:div w:id="2001040348">
      <w:bodyDiv w:val="1"/>
      <w:marLeft w:val="0"/>
      <w:marRight w:val="0"/>
      <w:marTop w:val="0"/>
      <w:marBottom w:val="0"/>
      <w:divBdr>
        <w:top w:val="none" w:sz="0" w:space="0" w:color="auto"/>
        <w:left w:val="none" w:sz="0" w:space="0" w:color="auto"/>
        <w:bottom w:val="none" w:sz="0" w:space="0" w:color="auto"/>
        <w:right w:val="none" w:sz="0" w:space="0" w:color="auto"/>
      </w:divBdr>
    </w:div>
    <w:div w:id="2009206428">
      <w:bodyDiv w:val="1"/>
      <w:marLeft w:val="0"/>
      <w:marRight w:val="0"/>
      <w:marTop w:val="0"/>
      <w:marBottom w:val="0"/>
      <w:divBdr>
        <w:top w:val="none" w:sz="0" w:space="0" w:color="auto"/>
        <w:left w:val="none" w:sz="0" w:space="0" w:color="auto"/>
        <w:bottom w:val="none" w:sz="0" w:space="0" w:color="auto"/>
        <w:right w:val="none" w:sz="0" w:space="0" w:color="auto"/>
      </w:divBdr>
      <w:divsChild>
        <w:div w:id="1228800613">
          <w:marLeft w:val="0"/>
          <w:marRight w:val="0"/>
          <w:marTop w:val="0"/>
          <w:marBottom w:val="0"/>
          <w:divBdr>
            <w:top w:val="none" w:sz="0" w:space="0" w:color="auto"/>
            <w:left w:val="none" w:sz="0" w:space="0" w:color="auto"/>
            <w:bottom w:val="none" w:sz="0" w:space="0" w:color="auto"/>
            <w:right w:val="none" w:sz="0" w:space="0" w:color="auto"/>
          </w:divBdr>
          <w:divsChild>
            <w:div w:id="325986135">
              <w:marLeft w:val="0"/>
              <w:marRight w:val="0"/>
              <w:marTop w:val="0"/>
              <w:marBottom w:val="0"/>
              <w:divBdr>
                <w:top w:val="none" w:sz="0" w:space="0" w:color="auto"/>
                <w:left w:val="none" w:sz="0" w:space="0" w:color="auto"/>
                <w:bottom w:val="none" w:sz="0" w:space="0" w:color="auto"/>
                <w:right w:val="none" w:sz="0" w:space="0" w:color="auto"/>
              </w:divBdr>
              <w:divsChild>
                <w:div w:id="572546385">
                  <w:marLeft w:val="0"/>
                  <w:marRight w:val="0"/>
                  <w:marTop w:val="0"/>
                  <w:marBottom w:val="0"/>
                  <w:divBdr>
                    <w:top w:val="none" w:sz="0" w:space="0" w:color="auto"/>
                    <w:left w:val="none" w:sz="0" w:space="0" w:color="auto"/>
                    <w:bottom w:val="none" w:sz="0" w:space="0" w:color="auto"/>
                    <w:right w:val="none" w:sz="0" w:space="0" w:color="auto"/>
                  </w:divBdr>
                  <w:divsChild>
                    <w:div w:id="5255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1437">
      <w:bodyDiv w:val="1"/>
      <w:marLeft w:val="0"/>
      <w:marRight w:val="0"/>
      <w:marTop w:val="0"/>
      <w:marBottom w:val="0"/>
      <w:divBdr>
        <w:top w:val="none" w:sz="0" w:space="0" w:color="auto"/>
        <w:left w:val="none" w:sz="0" w:space="0" w:color="auto"/>
        <w:bottom w:val="none" w:sz="0" w:space="0" w:color="auto"/>
        <w:right w:val="none" w:sz="0" w:space="0" w:color="auto"/>
      </w:divBdr>
    </w:div>
    <w:div w:id="2057509682">
      <w:bodyDiv w:val="1"/>
      <w:marLeft w:val="0"/>
      <w:marRight w:val="0"/>
      <w:marTop w:val="0"/>
      <w:marBottom w:val="0"/>
      <w:divBdr>
        <w:top w:val="none" w:sz="0" w:space="0" w:color="auto"/>
        <w:left w:val="none" w:sz="0" w:space="0" w:color="auto"/>
        <w:bottom w:val="none" w:sz="0" w:space="0" w:color="auto"/>
        <w:right w:val="none" w:sz="0" w:space="0" w:color="auto"/>
      </w:divBdr>
    </w:div>
    <w:div w:id="2076972905">
      <w:bodyDiv w:val="1"/>
      <w:marLeft w:val="0"/>
      <w:marRight w:val="0"/>
      <w:marTop w:val="0"/>
      <w:marBottom w:val="0"/>
      <w:divBdr>
        <w:top w:val="none" w:sz="0" w:space="0" w:color="auto"/>
        <w:left w:val="none" w:sz="0" w:space="0" w:color="auto"/>
        <w:bottom w:val="none" w:sz="0" w:space="0" w:color="auto"/>
        <w:right w:val="none" w:sz="0" w:space="0" w:color="auto"/>
      </w:divBdr>
    </w:div>
    <w:div w:id="2078236802">
      <w:bodyDiv w:val="1"/>
      <w:marLeft w:val="0"/>
      <w:marRight w:val="0"/>
      <w:marTop w:val="0"/>
      <w:marBottom w:val="0"/>
      <w:divBdr>
        <w:top w:val="none" w:sz="0" w:space="0" w:color="auto"/>
        <w:left w:val="none" w:sz="0" w:space="0" w:color="auto"/>
        <w:bottom w:val="none" w:sz="0" w:space="0" w:color="auto"/>
        <w:right w:val="none" w:sz="0" w:space="0" w:color="auto"/>
      </w:divBdr>
    </w:div>
    <w:div w:id="2094934274">
      <w:bodyDiv w:val="1"/>
      <w:marLeft w:val="0"/>
      <w:marRight w:val="0"/>
      <w:marTop w:val="0"/>
      <w:marBottom w:val="0"/>
      <w:divBdr>
        <w:top w:val="none" w:sz="0" w:space="0" w:color="auto"/>
        <w:left w:val="none" w:sz="0" w:space="0" w:color="auto"/>
        <w:bottom w:val="none" w:sz="0" w:space="0" w:color="auto"/>
        <w:right w:val="none" w:sz="0" w:space="0" w:color="auto"/>
      </w:divBdr>
    </w:div>
    <w:div w:id="2100133625">
      <w:bodyDiv w:val="1"/>
      <w:marLeft w:val="0"/>
      <w:marRight w:val="0"/>
      <w:marTop w:val="0"/>
      <w:marBottom w:val="0"/>
      <w:divBdr>
        <w:top w:val="none" w:sz="0" w:space="0" w:color="auto"/>
        <w:left w:val="none" w:sz="0" w:space="0" w:color="auto"/>
        <w:bottom w:val="none" w:sz="0" w:space="0" w:color="auto"/>
        <w:right w:val="none" w:sz="0" w:space="0" w:color="auto"/>
      </w:divBdr>
    </w:div>
    <w:div w:id="2106724777">
      <w:bodyDiv w:val="1"/>
      <w:marLeft w:val="0"/>
      <w:marRight w:val="0"/>
      <w:marTop w:val="0"/>
      <w:marBottom w:val="0"/>
      <w:divBdr>
        <w:top w:val="none" w:sz="0" w:space="0" w:color="auto"/>
        <w:left w:val="none" w:sz="0" w:space="0" w:color="auto"/>
        <w:bottom w:val="none" w:sz="0" w:space="0" w:color="auto"/>
        <w:right w:val="none" w:sz="0" w:space="0" w:color="auto"/>
      </w:divBdr>
    </w:div>
    <w:div w:id="2108380011">
      <w:bodyDiv w:val="1"/>
      <w:marLeft w:val="0"/>
      <w:marRight w:val="0"/>
      <w:marTop w:val="0"/>
      <w:marBottom w:val="0"/>
      <w:divBdr>
        <w:top w:val="none" w:sz="0" w:space="0" w:color="auto"/>
        <w:left w:val="none" w:sz="0" w:space="0" w:color="auto"/>
        <w:bottom w:val="none" w:sz="0" w:space="0" w:color="auto"/>
        <w:right w:val="none" w:sz="0" w:space="0" w:color="auto"/>
      </w:divBdr>
    </w:div>
    <w:div w:id="21283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papers/w8685" TargetMode="External"/><Relationship Id="rId13" Type="http://schemas.openxmlformats.org/officeDocument/2006/relationships/hyperlink" Target="https://www.nber.org/papers/w14266" TargetMode="External"/><Relationship Id="rId3" Type="http://schemas.openxmlformats.org/officeDocument/2006/relationships/settings" Target="settings.xml"/><Relationship Id="rId7" Type="http://schemas.openxmlformats.org/officeDocument/2006/relationships/hyperlink" Target="https://www.unpopulation.org" TargetMode="External"/><Relationship Id="rId12" Type="http://schemas.openxmlformats.org/officeDocument/2006/relationships/hyperlink" Target="https://doi.org/10.1007/s43621-024-004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ijcm.IJCM_7_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stor.org/stable/26622881" TargetMode="External"/><Relationship Id="rId4" Type="http://schemas.openxmlformats.org/officeDocument/2006/relationships/webSettings" Target="webSettings.xml"/><Relationship Id="rId9" Type="http://schemas.openxmlformats.org/officeDocument/2006/relationships/hyperlink" Target="https://onlinelibrary.wiley.com/doi/10.1111/j.1728-4457.2016.00164.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19</Pages>
  <Words>7806</Words>
  <Characters>44500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SHARAYU PURANIK - 70092100093</dc:creator>
  <cp:keywords/>
  <dc:description/>
  <cp:lastModifiedBy>NAMAN UPADHYAYA - 70092100105</cp:lastModifiedBy>
  <cp:revision>160</cp:revision>
  <cp:lastPrinted>2024-11-08T15:15:00Z</cp:lastPrinted>
  <dcterms:created xsi:type="dcterms:W3CDTF">2024-10-17T15:28:00Z</dcterms:created>
  <dcterms:modified xsi:type="dcterms:W3CDTF">2024-11-14T14:30:00Z</dcterms:modified>
</cp:coreProperties>
</file>