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DBE4F" w14:textId="77777777" w:rsidR="00576BF7" w:rsidRDefault="00000000">
      <w:pPr>
        <w:pStyle w:val="Heading1"/>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Evolving Architectures of Retrieval-Augmented Generation (RAG): A Comparative Analysis of Enterprise AI Systems and Performance Benchmarking (2023–2025)</w:t>
      </w:r>
    </w:p>
    <w:p w14:paraId="6D0A97F7" w14:textId="77777777" w:rsidR="00576BF7" w:rsidRDefault="00000000">
      <w:pPr>
        <w:pStyle w:val="Heading5"/>
        <w:ind w:left="0" w:firstLine="0"/>
        <w:jc w:val="center"/>
        <w:rPr>
          <w:b/>
          <w:bCs/>
          <w:sz w:val="22"/>
          <w:szCs w:val="22"/>
        </w:rPr>
      </w:pPr>
      <w:r>
        <w:rPr>
          <w:b/>
          <w:bCs/>
          <w:sz w:val="22"/>
          <w:szCs w:val="22"/>
        </w:rPr>
        <w:t>Radhika Gupta</w:t>
      </w:r>
      <w:r>
        <w:rPr>
          <w:b/>
          <w:bCs/>
          <w:sz w:val="22"/>
          <w:szCs w:val="22"/>
          <w:vertAlign w:val="superscript"/>
        </w:rPr>
        <w:t>*</w:t>
      </w:r>
    </w:p>
    <w:p w14:paraId="4A74D292" w14:textId="77777777" w:rsidR="00576BF7" w:rsidRDefault="00576BF7">
      <w:pPr>
        <w:jc w:val="center"/>
        <w:rPr>
          <w:sz w:val="20"/>
          <w:szCs w:val="20"/>
        </w:rPr>
      </w:pPr>
    </w:p>
    <w:p w14:paraId="7EBEFDFB" w14:textId="77777777" w:rsidR="00576BF7" w:rsidRDefault="00000000">
      <w:pPr>
        <w:jc w:val="center"/>
        <w:rPr>
          <w:rFonts w:ascii="Book Antiqua" w:eastAsia="Book Antiqua" w:hAnsi="Book Antiqua" w:cs="Book Antiqua"/>
          <w:b/>
          <w:bCs/>
        </w:rPr>
        <w:sectPr w:rsidR="00576BF7">
          <w:headerReference w:type="default" r:id="rId7"/>
          <w:footerReference w:type="default" r:id="rId8"/>
          <w:pgSz w:w="12240" w:h="15840"/>
          <w:pgMar w:top="1008" w:right="720" w:bottom="1008" w:left="720" w:header="446" w:footer="446" w:gutter="0"/>
          <w:pgNumType w:start="1"/>
          <w:cols w:space="720"/>
        </w:sectPr>
      </w:pPr>
      <w:r>
        <w:rPr>
          <w:sz w:val="18"/>
          <w:szCs w:val="18"/>
          <w:vertAlign w:val="superscript"/>
        </w:rPr>
        <w:t xml:space="preserve">* </w:t>
      </w:r>
      <w:r>
        <w:rPr>
          <w:sz w:val="18"/>
          <w:szCs w:val="18"/>
        </w:rPr>
        <w:t>Department of Artificial Intelligence and Data Sciences, Indira Gandhi Delhi Technical University for Women</w:t>
      </w:r>
    </w:p>
    <w:p w14:paraId="00228950" w14:textId="77777777" w:rsidR="00576BF7" w:rsidRDefault="00576BF7">
      <w:pPr>
        <w:jc w:val="both"/>
        <w:rPr>
          <w:b/>
          <w:bCs/>
          <w:i/>
          <w:iCs/>
          <w:sz w:val="20"/>
          <w:szCs w:val="20"/>
        </w:rPr>
        <w:sectPr w:rsidR="00576BF7">
          <w:type w:val="continuous"/>
          <w:pgSz w:w="12240" w:h="15840"/>
          <w:pgMar w:top="1152" w:right="720" w:bottom="1008" w:left="720" w:header="547" w:footer="446" w:gutter="0"/>
          <w:cols w:num="2" w:space="720" w:equalWidth="0">
            <w:col w:w="5256" w:space="288"/>
            <w:col w:w="5256" w:space="0"/>
          </w:cols>
        </w:sectPr>
      </w:pPr>
    </w:p>
    <w:p w14:paraId="47FA70BE" w14:textId="4111B84A" w:rsidR="00576BF7" w:rsidRDefault="00000000">
      <w:pPr>
        <w:jc w:val="both"/>
        <w:rPr>
          <w:sz w:val="16"/>
          <w:szCs w:val="16"/>
          <w:highlight w:val="yellow"/>
        </w:rPr>
      </w:pPr>
      <w:r>
        <w:rPr>
          <w:b/>
          <w:bCs/>
          <w:i/>
          <w:iCs/>
          <w:sz w:val="20"/>
          <w:szCs w:val="20"/>
        </w:rPr>
        <w:t>Abstract</w:t>
      </w:r>
      <w:r>
        <w:rPr>
          <w:b/>
          <w:bCs/>
          <w:sz w:val="20"/>
          <w:szCs w:val="20"/>
        </w:rPr>
        <w:t xml:space="preserve">- </w:t>
      </w:r>
      <w:bookmarkStart w:id="0" w:name="_Hlk213699912"/>
      <w:r>
        <w:rPr>
          <w:color w:val="0E101A"/>
          <w:sz w:val="20"/>
          <w:szCs w:val="20"/>
        </w:rPr>
        <w:t>Retrieval-Augmented Generation (RAG) has emerged as a transformative paradigm for enterprise artificial intelligence, addressing critical limitations of Large Language Models (LLMs) including hallucinations, static knowledge bases, and inability to access proprietary organizational data. This comprehensive study systematically analyzes the architectural evolution of RAG systems from 2023 to 2025, examining the progression from Naive RAG (single-step retrieval) through Advanced RAG (optimization loops) and Modular RAG (component decoupling) to contemporary Agentic RAG systems featuring autonomous reasoning and multi-step execution. We conduct extensive performance benchmarking of major enterprise cloud platforms—Microsoft Azure AI Search, Google Vertex AI, and Amazon Bedrock</w:t>
      </w:r>
      <w:r w:rsidR="00CE72BE">
        <w:rPr>
          <w:color w:val="0E101A"/>
          <w:sz w:val="20"/>
          <w:szCs w:val="20"/>
        </w:rPr>
        <w:t xml:space="preserve"> </w:t>
      </w:r>
      <w:r>
        <w:rPr>
          <w:color w:val="0E101A"/>
          <w:sz w:val="20"/>
          <w:szCs w:val="20"/>
        </w:rPr>
        <w:t xml:space="preserve">evaluating their implementations across standardized metrics. Our experimental evaluation of RAG architectures using the MS MARCO dataset reveals that Agentic RAG achieves the highest Mean Reciprocal Rank (MRR) of 0.847 and NDCG@10 of 0.823, representing a 23.4% improvement over Naive RAG (MRR: 0.686) and 15.2% improvement over Advanced RAG (MRR: 0.735). Microsoft Azure's Agentic Retrieval demonstrates superior performance with 40% improvement in answer relevance for complex queries and average latency of 2.3 seconds, outperforming Google Vertex AI (3.1 seconds) and AWS Bedrock (2.8 seconds). We systematically evaluate core components including hybrid retrieval mechanisms achieving 18.5% accuracy improvements, </w:t>
      </w:r>
      <w:proofErr w:type="spellStart"/>
      <w:r>
        <w:rPr>
          <w:color w:val="0E101A"/>
          <w:sz w:val="20"/>
          <w:szCs w:val="20"/>
        </w:rPr>
        <w:t>GraphRAG</w:t>
      </w:r>
      <w:proofErr w:type="spellEnd"/>
      <w:r>
        <w:rPr>
          <w:color w:val="0E101A"/>
          <w:sz w:val="20"/>
          <w:szCs w:val="20"/>
        </w:rPr>
        <w:t xml:space="preserve"> implementations showing 31% enhancement in multi-hop reasoning tasks, and multimodal RAG systems processing text, images, and audio with 89.2% cross-modal accuracy. Comparative analysis of orchestration frameworks reveals </w:t>
      </w:r>
      <w:proofErr w:type="spellStart"/>
      <w:r>
        <w:rPr>
          <w:color w:val="0E101A"/>
          <w:sz w:val="20"/>
          <w:szCs w:val="20"/>
        </w:rPr>
        <w:t>LangGraph</w:t>
      </w:r>
      <w:proofErr w:type="spellEnd"/>
      <w:r>
        <w:rPr>
          <w:color w:val="0E101A"/>
          <w:sz w:val="20"/>
          <w:szCs w:val="20"/>
        </w:rPr>
        <w:t xml:space="preserve"> achieving 94.3% task completion rate versus </w:t>
      </w:r>
      <w:proofErr w:type="spellStart"/>
      <w:r>
        <w:rPr>
          <w:color w:val="0E101A"/>
          <w:sz w:val="20"/>
          <w:szCs w:val="20"/>
        </w:rPr>
        <w:t>LlamaIndex</w:t>
      </w:r>
      <w:proofErr w:type="spellEnd"/>
      <w:r>
        <w:rPr>
          <w:color w:val="0E101A"/>
          <w:sz w:val="20"/>
          <w:szCs w:val="20"/>
        </w:rPr>
        <w:t xml:space="preserve"> Workflows at 91.8%, with average overhead of 127ms and 98ms respectively. Our findings demonstrate that ensemble-based Agentic RAG with hybrid retrieval and knowledge graph integration provides optimal performance for enterprise deployments, with practical implications for real-time monitoring systems, regulatory compliance applications, and intelligent decision support platforms. This work provides actionable insights for practitioners implementing RAG systems and identifies critical research directions including self-updating pipelines, hybrid fine-tuning approaches, and multi-agent collaboration frameworks.</w:t>
      </w:r>
    </w:p>
    <w:bookmarkEnd w:id="0"/>
    <w:p w14:paraId="6DC40915" w14:textId="77777777" w:rsidR="00576BF7" w:rsidRDefault="00576BF7">
      <w:pPr>
        <w:jc w:val="both"/>
        <w:rPr>
          <w:sz w:val="20"/>
          <w:szCs w:val="20"/>
        </w:rPr>
      </w:pPr>
    </w:p>
    <w:p w14:paraId="149D4D9D" w14:textId="77777777" w:rsidR="00576BF7" w:rsidRDefault="00000000">
      <w:pPr>
        <w:jc w:val="both"/>
        <w:rPr>
          <w:sz w:val="20"/>
          <w:szCs w:val="20"/>
        </w:rPr>
      </w:pPr>
      <w:r>
        <w:rPr>
          <w:b/>
          <w:bCs/>
          <w:i/>
          <w:iCs/>
          <w:sz w:val="20"/>
          <w:szCs w:val="20"/>
        </w:rPr>
        <w:t>Index Terms</w:t>
      </w:r>
      <w:r>
        <w:rPr>
          <w:sz w:val="20"/>
          <w:szCs w:val="20"/>
        </w:rPr>
        <w:t>- Retrieval-Augmented Generation, Agentic AI Systems, Large Language Models, Enterprise AI Architecture, Hybrid Search, Knowledge Graphs, Performance Benchmarking, Retrieval-Augmented Generation</w:t>
      </w:r>
    </w:p>
    <w:p w14:paraId="71B7318F" w14:textId="77777777" w:rsidR="00576BF7" w:rsidRDefault="00000000">
      <w:pPr>
        <w:keepNext/>
        <w:numPr>
          <w:ilvl w:val="0"/>
          <w:numId w:val="3"/>
        </w:numPr>
        <w:spacing w:before="240" w:after="80"/>
        <w:jc w:val="center"/>
        <w:rPr>
          <w:smallCaps/>
          <w:sz w:val="20"/>
          <w:szCs w:val="20"/>
        </w:rPr>
      </w:pPr>
      <w:r>
        <w:rPr>
          <w:smallCaps/>
          <w:sz w:val="20"/>
          <w:szCs w:val="20"/>
        </w:rPr>
        <w:t>Introduction</w:t>
      </w:r>
    </w:p>
    <w:p w14:paraId="1BF53DA0" w14:textId="77777777" w:rsidR="00576BF7" w:rsidRDefault="00000000">
      <w:pPr>
        <w:jc w:val="both"/>
        <w:rPr>
          <w:sz w:val="20"/>
          <w:szCs w:val="20"/>
        </w:rPr>
      </w:pPr>
      <w:r>
        <w:rPr>
          <w:sz w:val="20"/>
          <w:szCs w:val="20"/>
        </w:rPr>
        <w:t>The integration of Large Language Models (LLMs) into enterprise workflows represents one of the most significant technological shifts in artificial intelligence deployment over the past decade. Despite impressive generalization capabilities across natural language processing tasks, contemporary LLMs face fundamental limitations that constrain their enterprise applicability. These limitations manifest in three critical areas: (1) reliance on static parametric knowledge acquired during pre-training, resulting in outdated or incomplete information; (2) susceptibility to hallucinations—the generation of plausible but factually incorrect content—when handling queries requiring verifiable domain-specific information; and (3) complete inability to access real-time data or proprietary organizational knowledge bases [1, 2].</w:t>
      </w:r>
    </w:p>
    <w:p w14:paraId="2A49F493" w14:textId="77777777" w:rsidR="00576BF7" w:rsidRDefault="00576BF7">
      <w:pPr>
        <w:jc w:val="both"/>
        <w:rPr>
          <w:sz w:val="20"/>
          <w:szCs w:val="20"/>
        </w:rPr>
      </w:pPr>
    </w:p>
    <w:p w14:paraId="72386FE2" w14:textId="77777777" w:rsidR="00576BF7" w:rsidRDefault="00000000">
      <w:pPr>
        <w:jc w:val="both"/>
        <w:rPr>
          <w:sz w:val="20"/>
          <w:szCs w:val="20"/>
        </w:rPr>
      </w:pPr>
      <w:r>
        <w:rPr>
          <w:sz w:val="20"/>
          <w:szCs w:val="20"/>
        </w:rPr>
        <w:t>Retrieval-Augmented Generation directly addresses these deficiencies through a paradigm shift in how language models access and utilize information. Rather than depending solely on knowledge encoded in model parameters, RAG systems couple LLMs with non-parametric retrieval modules that dynamically fetch external evidence during inference [3]. This architectural innovation provides several compelling advantages: enhanced transparency through explicit source citation, improved factual grounding by anchoring generation in retrieved documents, and remarkable adaptability to constantly evolving knowledge bases without requiring model retraining [4, 5].</w:t>
      </w:r>
    </w:p>
    <w:p w14:paraId="7A29320D" w14:textId="77777777" w:rsidR="00576BF7" w:rsidRDefault="00576BF7">
      <w:pPr>
        <w:jc w:val="both"/>
        <w:rPr>
          <w:sz w:val="20"/>
          <w:szCs w:val="20"/>
        </w:rPr>
      </w:pPr>
    </w:p>
    <w:p w14:paraId="19720DCB" w14:textId="77777777" w:rsidR="00576BF7" w:rsidRDefault="00000000">
      <w:pPr>
        <w:jc w:val="both"/>
        <w:rPr>
          <w:sz w:val="20"/>
          <w:szCs w:val="20"/>
        </w:rPr>
      </w:pPr>
      <w:r>
        <w:rPr>
          <w:sz w:val="20"/>
          <w:szCs w:val="20"/>
        </w:rPr>
        <w:t xml:space="preserve">The enterprise AI landscape has witnessed dramatic transformation between 2023 and 2025. Market analysis indicates that 75% of enterprise AI workloads are now deployed in cloud environments, with major vendors—Amazon Web Services, Microsoft Azure, and Google Cloud Platform—rapidly standardizing RAG as a foundational service offering [6]. This standardization reflects a strategic shift in competitive positioning: as foundational LLMs become increasingly commoditized through API access and open-source releases, </w:t>
      </w:r>
      <w:r>
        <w:rPr>
          <w:sz w:val="20"/>
          <w:szCs w:val="20"/>
        </w:rPr>
        <w:lastRenderedPageBreak/>
        <w:t xml:space="preserve">competitive differentiation now centers on integrated </w:t>
      </w:r>
      <w:proofErr w:type="spellStart"/>
      <w:r>
        <w:rPr>
          <w:sz w:val="20"/>
          <w:szCs w:val="20"/>
        </w:rPr>
        <w:t>MLOps</w:t>
      </w:r>
      <w:proofErr w:type="spellEnd"/>
      <w:r>
        <w:rPr>
          <w:sz w:val="20"/>
          <w:szCs w:val="20"/>
        </w:rPr>
        <w:t xml:space="preserve"> tooling, sophisticated governance platforms, and proprietary search infrastructure specifically optimized for agentic workflows.</w:t>
      </w:r>
    </w:p>
    <w:p w14:paraId="4787DBF8" w14:textId="77777777" w:rsidR="00576BF7" w:rsidRDefault="00576BF7">
      <w:pPr>
        <w:jc w:val="both"/>
        <w:rPr>
          <w:sz w:val="20"/>
          <w:szCs w:val="20"/>
        </w:rPr>
      </w:pPr>
    </w:p>
    <w:p w14:paraId="420E8DEA" w14:textId="77777777" w:rsidR="00576BF7" w:rsidRDefault="00000000">
      <w:pPr>
        <w:jc w:val="both"/>
        <w:rPr>
          <w:sz w:val="20"/>
          <w:szCs w:val="20"/>
        </w:rPr>
      </w:pPr>
      <w:r>
        <w:rPr>
          <w:sz w:val="20"/>
          <w:szCs w:val="20"/>
        </w:rPr>
        <w:t>The defining architectural trend characterizing this period is the mandatory migration from static RAG pipelines toward Agentic RAG systems. This evolution represents far more than incremental improvement—it constitutes a fundamental reimagining of retrieval as a dynamically planned action governed by autonomous agents rather than a fixed preprocessing step [7, 8]. Agentic RAG systems embed autonomous AI agents directly into the RAG pipeline, leveraging sophisticated design patterns including reflection (self-critique of generated content), planning (decomposition of complex queries into subtasks), tool use (dynamic selection among retrieval strategies), and multi-agent collaboration (coordination among specialized agents) to dynamically manage retrieval strategies and iteratively refine contextual understanding [9].</w:t>
      </w:r>
    </w:p>
    <w:p w14:paraId="43671529" w14:textId="77777777" w:rsidR="00576BF7" w:rsidRDefault="00576BF7">
      <w:pPr>
        <w:jc w:val="both"/>
        <w:rPr>
          <w:sz w:val="20"/>
          <w:szCs w:val="20"/>
        </w:rPr>
      </w:pPr>
    </w:p>
    <w:p w14:paraId="64A3A6DA" w14:textId="77777777" w:rsidR="00576BF7" w:rsidRDefault="00000000">
      <w:pPr>
        <w:jc w:val="both"/>
        <w:rPr>
          <w:smallCaps/>
          <w:sz w:val="20"/>
          <w:szCs w:val="20"/>
        </w:rPr>
      </w:pPr>
      <w:r>
        <w:rPr>
          <w:sz w:val="20"/>
          <w:szCs w:val="20"/>
        </w:rPr>
        <w:t xml:space="preserve">A. </w:t>
      </w:r>
      <w:r>
        <w:rPr>
          <w:smallCaps/>
          <w:sz w:val="20"/>
          <w:szCs w:val="20"/>
        </w:rPr>
        <w:t>Motivation and Research Gap</w:t>
      </w:r>
    </w:p>
    <w:p w14:paraId="7544D4AE" w14:textId="77777777" w:rsidR="00576BF7" w:rsidRDefault="00576BF7">
      <w:pPr>
        <w:jc w:val="both"/>
        <w:rPr>
          <w:smallCaps/>
          <w:sz w:val="20"/>
          <w:szCs w:val="20"/>
        </w:rPr>
      </w:pPr>
    </w:p>
    <w:p w14:paraId="6CA00F18" w14:textId="77777777" w:rsidR="00576BF7" w:rsidRDefault="00000000">
      <w:pPr>
        <w:jc w:val="both"/>
        <w:rPr>
          <w:sz w:val="20"/>
          <w:szCs w:val="20"/>
        </w:rPr>
      </w:pPr>
      <w:r>
        <w:rPr>
          <w:sz w:val="20"/>
          <w:szCs w:val="20"/>
        </w:rPr>
        <w:t>While existing literature extensively documents individual RAG components and theoretical frameworks, a significant gap exists in comprehensive empirical evaluation comparing architectural variants under standardized conditions. Most published research focuses on narrow aspects such as specific retrieval algorithms, particular generation strategies, or isolated use cases without systematic analysis of end-to-end system performance across diverse query types and deployment scenarios. Furthermore, industry implementations from major technology providers lack independent, reproducible benchmarking using common datasets and evaluation metrics.</w:t>
      </w:r>
    </w:p>
    <w:p w14:paraId="536FFD89" w14:textId="77777777" w:rsidR="00576BF7" w:rsidRDefault="00576BF7">
      <w:pPr>
        <w:jc w:val="both"/>
        <w:rPr>
          <w:sz w:val="20"/>
          <w:szCs w:val="20"/>
        </w:rPr>
      </w:pPr>
    </w:p>
    <w:p w14:paraId="0A5E4751" w14:textId="77777777" w:rsidR="00576BF7" w:rsidRDefault="00000000">
      <w:pPr>
        <w:jc w:val="both"/>
        <w:rPr>
          <w:sz w:val="20"/>
          <w:szCs w:val="20"/>
        </w:rPr>
      </w:pPr>
      <w:r>
        <w:rPr>
          <w:sz w:val="20"/>
          <w:szCs w:val="20"/>
        </w:rPr>
        <w:t>This research addresses these gaps through:</w:t>
      </w:r>
    </w:p>
    <w:p w14:paraId="5DE29A08" w14:textId="77777777" w:rsidR="00576BF7" w:rsidRDefault="00000000">
      <w:pPr>
        <w:jc w:val="both"/>
        <w:rPr>
          <w:sz w:val="20"/>
          <w:szCs w:val="20"/>
        </w:rPr>
      </w:pPr>
      <w:r>
        <w:rPr>
          <w:sz w:val="20"/>
          <w:szCs w:val="20"/>
        </w:rPr>
        <w:t>1. Comprehensive taxonomy mapping the complete architectural evolution from Naive through Agentic RAG paradigms</w:t>
      </w:r>
    </w:p>
    <w:p w14:paraId="593C1A2B" w14:textId="77777777" w:rsidR="00576BF7" w:rsidRDefault="00000000">
      <w:pPr>
        <w:jc w:val="both"/>
        <w:rPr>
          <w:sz w:val="20"/>
          <w:szCs w:val="20"/>
        </w:rPr>
      </w:pPr>
      <w:r>
        <w:rPr>
          <w:sz w:val="20"/>
          <w:szCs w:val="20"/>
        </w:rPr>
        <w:t>2. Systematic empirical evaluation using standardized datasets (MS MARCO, Natural Questions) with rigorous statistical analysis</w:t>
      </w:r>
    </w:p>
    <w:p w14:paraId="71C4C7B9" w14:textId="77777777" w:rsidR="00576BF7" w:rsidRDefault="00000000">
      <w:pPr>
        <w:jc w:val="both"/>
        <w:rPr>
          <w:sz w:val="20"/>
          <w:szCs w:val="20"/>
        </w:rPr>
      </w:pPr>
      <w:r>
        <w:rPr>
          <w:sz w:val="20"/>
          <w:szCs w:val="20"/>
        </w:rPr>
        <w:t>3. Independent benchmarking of major enterprise cloud platforms under identical conditions</w:t>
      </w:r>
    </w:p>
    <w:p w14:paraId="252EF7D3" w14:textId="77777777" w:rsidR="00576BF7" w:rsidRDefault="00000000">
      <w:pPr>
        <w:jc w:val="both"/>
        <w:rPr>
          <w:sz w:val="20"/>
          <w:szCs w:val="20"/>
        </w:rPr>
      </w:pPr>
      <w:r>
        <w:rPr>
          <w:sz w:val="20"/>
          <w:szCs w:val="20"/>
        </w:rPr>
        <w:t>4. Detailed component-level analysis quantifying contributions of hybrid retrieval, knowledge graphs, and multimodal processing</w:t>
      </w:r>
    </w:p>
    <w:p w14:paraId="15E6179F" w14:textId="77777777" w:rsidR="00576BF7" w:rsidRDefault="00000000">
      <w:pPr>
        <w:jc w:val="both"/>
        <w:rPr>
          <w:sz w:val="20"/>
          <w:szCs w:val="20"/>
        </w:rPr>
      </w:pPr>
      <w:r>
        <w:rPr>
          <w:sz w:val="20"/>
          <w:szCs w:val="20"/>
        </w:rPr>
        <w:t>5. Practical deployment guidance based on measured performance characteristics</w:t>
      </w:r>
    </w:p>
    <w:p w14:paraId="3724EA8E" w14:textId="77777777" w:rsidR="00576BF7" w:rsidRDefault="00576BF7">
      <w:pPr>
        <w:jc w:val="both"/>
        <w:rPr>
          <w:sz w:val="20"/>
          <w:szCs w:val="20"/>
        </w:rPr>
      </w:pPr>
    </w:p>
    <w:p w14:paraId="1E47217B" w14:textId="77777777" w:rsidR="00576BF7" w:rsidRDefault="00000000">
      <w:pPr>
        <w:jc w:val="both"/>
        <w:rPr>
          <w:smallCaps/>
          <w:sz w:val="20"/>
          <w:szCs w:val="20"/>
        </w:rPr>
      </w:pPr>
      <w:r>
        <w:rPr>
          <w:sz w:val="20"/>
          <w:szCs w:val="20"/>
        </w:rPr>
        <w:t xml:space="preserve">B. </w:t>
      </w:r>
      <w:r>
        <w:rPr>
          <w:smallCaps/>
          <w:sz w:val="20"/>
          <w:szCs w:val="20"/>
        </w:rPr>
        <w:t>Research Contributions</w:t>
      </w:r>
    </w:p>
    <w:p w14:paraId="29DC21A2" w14:textId="77777777" w:rsidR="00576BF7" w:rsidRDefault="00576BF7">
      <w:pPr>
        <w:jc w:val="both"/>
        <w:rPr>
          <w:smallCaps/>
          <w:sz w:val="20"/>
          <w:szCs w:val="20"/>
        </w:rPr>
      </w:pPr>
    </w:p>
    <w:p w14:paraId="7D03154C" w14:textId="77777777" w:rsidR="00576BF7" w:rsidRDefault="00000000">
      <w:pPr>
        <w:jc w:val="both"/>
        <w:rPr>
          <w:sz w:val="20"/>
          <w:szCs w:val="20"/>
        </w:rPr>
      </w:pPr>
      <w:r>
        <w:rPr>
          <w:sz w:val="20"/>
          <w:szCs w:val="20"/>
        </w:rPr>
        <w:t>This work makes the following specific contributions to the field:</w:t>
      </w:r>
    </w:p>
    <w:p w14:paraId="7A54EF74" w14:textId="77777777" w:rsidR="00576BF7" w:rsidRDefault="00000000">
      <w:pPr>
        <w:jc w:val="both"/>
        <w:rPr>
          <w:sz w:val="20"/>
          <w:szCs w:val="20"/>
        </w:rPr>
      </w:pPr>
      <w:r>
        <w:rPr>
          <w:sz w:val="20"/>
          <w:szCs w:val="20"/>
        </w:rPr>
        <w:t xml:space="preserve">1. </w:t>
      </w:r>
      <w:r>
        <w:rPr>
          <w:b/>
          <w:bCs/>
          <w:sz w:val="20"/>
          <w:szCs w:val="20"/>
        </w:rPr>
        <w:t>Comprehensive Architectural Taxonomy</w:t>
      </w:r>
      <w:r>
        <w:rPr>
          <w:sz w:val="20"/>
          <w:szCs w:val="20"/>
        </w:rPr>
        <w:t>: We present a detailed classification framework organizing RAG systems into four distinct generations (Naive, Advanced, Modular, Agentic), with precise technical characterization of architectural innovations, enabling systematic comparison and implementation guidance.</w:t>
      </w:r>
    </w:p>
    <w:p w14:paraId="2773363E" w14:textId="77777777" w:rsidR="00576BF7" w:rsidRDefault="00000000">
      <w:pPr>
        <w:jc w:val="both"/>
        <w:rPr>
          <w:sz w:val="20"/>
          <w:szCs w:val="20"/>
        </w:rPr>
      </w:pPr>
      <w:r>
        <w:rPr>
          <w:sz w:val="20"/>
          <w:szCs w:val="20"/>
        </w:rPr>
        <w:t xml:space="preserve">2. </w:t>
      </w:r>
      <w:r>
        <w:rPr>
          <w:b/>
          <w:bCs/>
          <w:sz w:val="20"/>
          <w:szCs w:val="20"/>
        </w:rPr>
        <w:t>Rigorous Empirical Evaluation</w:t>
      </w:r>
      <w:r>
        <w:rPr>
          <w:sz w:val="20"/>
          <w:szCs w:val="20"/>
        </w:rPr>
        <w:t>: Through controlled experiments using MS MARCO (passage retrieval) and Natural Questions (question answering) datasets, we quantify performance differences across architectural variants, measuring Mean Reciprocal Rank (MRR), Normalized Discounted Cumulative Gain (NDCG), latency, and computational cost.</w:t>
      </w:r>
    </w:p>
    <w:p w14:paraId="09F4C12B" w14:textId="77777777" w:rsidR="00576BF7" w:rsidRDefault="00000000">
      <w:pPr>
        <w:jc w:val="both"/>
        <w:rPr>
          <w:sz w:val="20"/>
          <w:szCs w:val="20"/>
        </w:rPr>
      </w:pPr>
      <w:r>
        <w:rPr>
          <w:sz w:val="20"/>
          <w:szCs w:val="20"/>
        </w:rPr>
        <w:t xml:space="preserve">3. </w:t>
      </w:r>
      <w:r>
        <w:rPr>
          <w:b/>
          <w:bCs/>
          <w:sz w:val="20"/>
          <w:szCs w:val="20"/>
        </w:rPr>
        <w:t>Enterprise Platform Benchmarking</w:t>
      </w:r>
      <w:r>
        <w:rPr>
          <w:sz w:val="20"/>
          <w:szCs w:val="20"/>
        </w:rPr>
        <w:t>: We provide the first independent, reproducible comparison of Microsoft Azure AI Search, Google Vertex AI, and Amazon Bedrock RAG implementations, measuring answer relevance, latency, cost-per-query, and scalability characteristics under realistic workloads.</w:t>
      </w:r>
    </w:p>
    <w:p w14:paraId="0DA33D88" w14:textId="77777777" w:rsidR="00576BF7" w:rsidRDefault="00000000">
      <w:pPr>
        <w:jc w:val="both"/>
        <w:rPr>
          <w:sz w:val="20"/>
          <w:szCs w:val="20"/>
        </w:rPr>
      </w:pPr>
      <w:r>
        <w:rPr>
          <w:sz w:val="20"/>
          <w:szCs w:val="20"/>
        </w:rPr>
        <w:t xml:space="preserve">4. </w:t>
      </w:r>
      <w:r>
        <w:rPr>
          <w:b/>
          <w:bCs/>
          <w:sz w:val="20"/>
          <w:szCs w:val="20"/>
        </w:rPr>
        <w:t>Component-Level Analysis</w:t>
      </w:r>
      <w:r>
        <w:rPr>
          <w:sz w:val="20"/>
          <w:szCs w:val="20"/>
        </w:rPr>
        <w:t xml:space="preserve">: We systematically evaluate enabling technologies including hybrid retrieval (dense + sparse), </w:t>
      </w:r>
      <w:proofErr w:type="spellStart"/>
      <w:r>
        <w:rPr>
          <w:sz w:val="20"/>
          <w:szCs w:val="20"/>
        </w:rPr>
        <w:t>GraphRAG</w:t>
      </w:r>
      <w:proofErr w:type="spellEnd"/>
      <w:r>
        <w:rPr>
          <w:sz w:val="20"/>
          <w:szCs w:val="20"/>
        </w:rPr>
        <w:t xml:space="preserve"> implementations, and multimodal processing, quantifying their individual and combined contributions to overall system performance.</w:t>
      </w:r>
    </w:p>
    <w:p w14:paraId="4A7C32A4" w14:textId="77777777" w:rsidR="00576BF7" w:rsidRDefault="00000000">
      <w:pPr>
        <w:jc w:val="both"/>
        <w:rPr>
          <w:sz w:val="20"/>
          <w:szCs w:val="20"/>
        </w:rPr>
      </w:pPr>
      <w:r>
        <w:rPr>
          <w:sz w:val="20"/>
          <w:szCs w:val="20"/>
        </w:rPr>
        <w:t xml:space="preserve">5. </w:t>
      </w:r>
      <w:r>
        <w:rPr>
          <w:b/>
          <w:bCs/>
          <w:sz w:val="20"/>
          <w:szCs w:val="20"/>
        </w:rPr>
        <w:t>Practical Implementation Insights</w:t>
      </w:r>
      <w:r>
        <w:rPr>
          <w:sz w:val="20"/>
          <w:szCs w:val="20"/>
        </w:rPr>
        <w:t>: Based on measured performance data and deployment experience, we provide actionable recommendations for architecture selection, component configuration, and operational optimization tailored to specific enterprise requirements.</w:t>
      </w:r>
    </w:p>
    <w:p w14:paraId="19AFAC2D" w14:textId="77777777" w:rsidR="00576BF7" w:rsidRDefault="00576BF7">
      <w:pPr>
        <w:jc w:val="both"/>
        <w:rPr>
          <w:sz w:val="20"/>
          <w:szCs w:val="20"/>
        </w:rPr>
      </w:pPr>
    </w:p>
    <w:p w14:paraId="036CF1B9" w14:textId="77777777" w:rsidR="00576BF7" w:rsidRDefault="00000000">
      <w:pPr>
        <w:jc w:val="both"/>
        <w:rPr>
          <w:smallCaps/>
          <w:sz w:val="20"/>
          <w:szCs w:val="20"/>
        </w:rPr>
      </w:pPr>
      <w:r>
        <w:rPr>
          <w:sz w:val="20"/>
          <w:szCs w:val="20"/>
        </w:rPr>
        <w:t xml:space="preserve">C. </w:t>
      </w:r>
      <w:r>
        <w:rPr>
          <w:smallCaps/>
          <w:sz w:val="20"/>
          <w:szCs w:val="20"/>
        </w:rPr>
        <w:t>Paper Organization</w:t>
      </w:r>
    </w:p>
    <w:p w14:paraId="0582029A" w14:textId="77777777" w:rsidR="00576BF7" w:rsidRDefault="00000000">
      <w:pPr>
        <w:jc w:val="both"/>
        <w:rPr>
          <w:smallCaps/>
          <w:sz w:val="20"/>
          <w:szCs w:val="20"/>
        </w:rPr>
      </w:pPr>
      <w:r>
        <w:rPr>
          <w:sz w:val="20"/>
          <w:szCs w:val="20"/>
        </w:rPr>
        <w:t xml:space="preserve">The remainder of this paper is organized as follows: Section II surveys related work on RAG architectures and evaluation methodologies. Section III presents our comprehensive architectural taxonomy with technical specifications for each generation. Section IV describes our experimental methodology including datasets, evaluation metrics, and implementation details. Section V presents detailed results from our empirical evaluation and platform benchmarking. Section VI provides component-level analysis of hybrid retrieval, </w:t>
      </w:r>
      <w:proofErr w:type="spellStart"/>
      <w:r>
        <w:rPr>
          <w:sz w:val="20"/>
          <w:szCs w:val="20"/>
        </w:rPr>
        <w:t>GraphRAG</w:t>
      </w:r>
      <w:proofErr w:type="spellEnd"/>
      <w:r>
        <w:rPr>
          <w:sz w:val="20"/>
          <w:szCs w:val="20"/>
        </w:rPr>
        <w:t>, and multimodal systems. Section VII discusses practical implications and deployment considerations. Section VIII identifies research challenges and future directions. Section IX concludes with key findings and recommendations.</w:t>
      </w:r>
    </w:p>
    <w:p w14:paraId="67AA90DB" w14:textId="77777777" w:rsidR="00576BF7" w:rsidRDefault="00576BF7">
      <w:pPr>
        <w:jc w:val="both"/>
        <w:rPr>
          <w:sz w:val="20"/>
          <w:szCs w:val="20"/>
        </w:rPr>
      </w:pPr>
    </w:p>
    <w:p w14:paraId="15840345" w14:textId="77777777" w:rsidR="00576BF7" w:rsidRDefault="00000000">
      <w:pPr>
        <w:keepNext/>
        <w:numPr>
          <w:ilvl w:val="0"/>
          <w:numId w:val="3"/>
        </w:numPr>
        <w:spacing w:before="240" w:after="80"/>
        <w:jc w:val="center"/>
        <w:rPr>
          <w:smallCaps/>
          <w:sz w:val="20"/>
          <w:szCs w:val="20"/>
        </w:rPr>
      </w:pPr>
      <w:r>
        <w:rPr>
          <w:smallCaps/>
          <w:sz w:val="20"/>
          <w:szCs w:val="20"/>
        </w:rPr>
        <w:t>LITERATURE SURVEY</w:t>
      </w:r>
    </w:p>
    <w:p w14:paraId="047E1C27" w14:textId="77777777" w:rsidR="00576BF7" w:rsidRDefault="00000000">
      <w:pPr>
        <w:spacing w:before="240" w:after="240"/>
        <w:jc w:val="both"/>
        <w:rPr>
          <w:sz w:val="20"/>
          <w:szCs w:val="20"/>
        </w:rPr>
      </w:pPr>
      <w:r>
        <w:rPr>
          <w:sz w:val="20"/>
          <w:szCs w:val="20"/>
        </w:rPr>
        <w:t>The development of Retrieval-Augmented Generation spans multiple research domains including information retrieval, natural language processing, and machine learning systems. This section systematically reviews foundational work, recent architectural innovations, and empirical evaluation methodologies.</w:t>
      </w:r>
    </w:p>
    <w:p w14:paraId="750AAC7A" w14:textId="77777777" w:rsidR="00576BF7" w:rsidRDefault="00000000">
      <w:pPr>
        <w:spacing w:before="240" w:after="240"/>
        <w:jc w:val="both"/>
        <w:rPr>
          <w:b/>
          <w:bCs/>
          <w:sz w:val="20"/>
          <w:szCs w:val="20"/>
        </w:rPr>
      </w:pPr>
      <w:r>
        <w:rPr>
          <w:b/>
          <w:bCs/>
          <w:sz w:val="20"/>
          <w:szCs w:val="20"/>
        </w:rPr>
        <w:lastRenderedPageBreak/>
        <w:t>A. Foundational RAG Architectures</w:t>
      </w:r>
    </w:p>
    <w:p w14:paraId="3587B9E2" w14:textId="77777777" w:rsidR="00576BF7" w:rsidRDefault="00000000">
      <w:pPr>
        <w:spacing w:before="240" w:after="240"/>
        <w:jc w:val="both"/>
        <w:rPr>
          <w:sz w:val="20"/>
          <w:szCs w:val="20"/>
        </w:rPr>
      </w:pPr>
      <w:r>
        <w:rPr>
          <w:sz w:val="20"/>
          <w:szCs w:val="20"/>
        </w:rPr>
        <w:t xml:space="preserve">The conceptual foundation for RAG emerged from open-domain question answering research. Chen et al. [13] introduced </w:t>
      </w:r>
      <w:proofErr w:type="spellStart"/>
      <w:r>
        <w:rPr>
          <w:sz w:val="20"/>
          <w:szCs w:val="20"/>
        </w:rPr>
        <w:t>DrQA</w:t>
      </w:r>
      <w:proofErr w:type="spellEnd"/>
      <w:r>
        <w:rPr>
          <w:sz w:val="20"/>
          <w:szCs w:val="20"/>
        </w:rPr>
        <w:t xml:space="preserve">, combining sparse retrieval using TF-IDF with neural reading comprehension models applied to Wikipedia passages. While effective for simple factoid questions, </w:t>
      </w:r>
      <w:proofErr w:type="spellStart"/>
      <w:r>
        <w:rPr>
          <w:sz w:val="20"/>
          <w:szCs w:val="20"/>
        </w:rPr>
        <w:t>DrQA's</w:t>
      </w:r>
      <w:proofErr w:type="spellEnd"/>
      <w:r>
        <w:rPr>
          <w:sz w:val="20"/>
          <w:szCs w:val="20"/>
        </w:rPr>
        <w:t xml:space="preserve"> reliance on lexical matching created vocabulary mismatch problems where semantically similar queries and documents using different terminology failed to retrieve relevant information.</w:t>
      </w:r>
    </w:p>
    <w:p w14:paraId="32F2ECCB" w14:textId="77777777" w:rsidR="00576BF7" w:rsidRDefault="00000000">
      <w:pPr>
        <w:spacing w:before="240" w:after="240"/>
        <w:jc w:val="both"/>
        <w:rPr>
          <w:sz w:val="20"/>
          <w:szCs w:val="20"/>
        </w:rPr>
      </w:pPr>
      <w:r>
        <w:rPr>
          <w:sz w:val="20"/>
          <w:szCs w:val="20"/>
        </w:rPr>
        <w:t>Lewis et al. [3] formalized the RAG paradigm through end-to-end training of both retrieval and generation components. Their architecture combined a dense retriever (initializing from DPR) with a BART-based sequence-to-sequence generator, training the complete system to optimize generation quality. This work demonstrated that retrieval-augmented models could outperform significantly larger parametric-only models on knowledge-intensive tasks, validating the core RAG hypothesis.</w:t>
      </w:r>
    </w:p>
    <w:p w14:paraId="2C72EB7C" w14:textId="77777777" w:rsidR="00576BF7" w:rsidRDefault="00000000">
      <w:pPr>
        <w:spacing w:before="240" w:after="240"/>
        <w:jc w:val="both"/>
        <w:rPr>
          <w:b/>
          <w:bCs/>
          <w:sz w:val="20"/>
          <w:szCs w:val="20"/>
        </w:rPr>
      </w:pPr>
      <w:r>
        <w:rPr>
          <w:b/>
          <w:bCs/>
          <w:sz w:val="20"/>
          <w:szCs w:val="20"/>
        </w:rPr>
        <w:t>B. Advanced Retrieval Techniques</w:t>
      </w:r>
    </w:p>
    <w:p w14:paraId="4FC0AF51" w14:textId="77777777" w:rsidR="00576BF7" w:rsidRDefault="00000000">
      <w:pPr>
        <w:spacing w:before="240" w:after="240"/>
        <w:jc w:val="both"/>
        <w:rPr>
          <w:sz w:val="20"/>
          <w:szCs w:val="20"/>
        </w:rPr>
      </w:pPr>
      <w:r>
        <w:rPr>
          <w:sz w:val="20"/>
          <w:szCs w:val="20"/>
        </w:rPr>
        <w:t>Recent research has focused on improving retrieval precision and recall through sophisticated query processing. Gao et al. [19] introduced Hypothetical Document Embeddings (</w:t>
      </w:r>
      <w:proofErr w:type="spellStart"/>
      <w:r>
        <w:rPr>
          <w:sz w:val="20"/>
          <w:szCs w:val="20"/>
        </w:rPr>
        <w:t>HyDE</w:t>
      </w:r>
      <w:proofErr w:type="spellEnd"/>
      <w:r>
        <w:rPr>
          <w:sz w:val="20"/>
          <w:szCs w:val="20"/>
        </w:rPr>
        <w:t>), which generates hypothetical documents matching the query's semantic intent, then uses these synthetic documents for retrieval rather than the original query. This approach bridges phrasing gaps between user queries and document vocabulary, achieving substantial improvements on MS MARCO and BEIR benchmarks.</w:t>
      </w:r>
    </w:p>
    <w:p w14:paraId="2E1283E7" w14:textId="77777777" w:rsidR="00576BF7" w:rsidRDefault="00000000">
      <w:pPr>
        <w:spacing w:before="240" w:after="240"/>
        <w:jc w:val="both"/>
        <w:rPr>
          <w:sz w:val="20"/>
          <w:szCs w:val="20"/>
        </w:rPr>
      </w:pPr>
      <w:r>
        <w:rPr>
          <w:sz w:val="20"/>
          <w:szCs w:val="20"/>
        </w:rPr>
        <w:t>Reflection-based query augmentation represents another significant innovation. Xu et al. [20] proposed Golden-Retriever RAG, incorporating agentic mechanisms where the system analyzes queries for ambiguity or domain-specific jargon before retrieval commences. When ambiguous terminology is detected, the system autonomously generates clarifications or definitions, augmenting the original query with this context. This self-correcting capability proves essential for technical domains where precise terminology critically impacts retrieval relevance.</w:t>
      </w:r>
    </w:p>
    <w:p w14:paraId="175B07B7" w14:textId="77777777" w:rsidR="00576BF7" w:rsidRDefault="00000000">
      <w:pPr>
        <w:spacing w:before="240" w:after="240"/>
        <w:jc w:val="both"/>
        <w:rPr>
          <w:sz w:val="20"/>
          <w:szCs w:val="20"/>
        </w:rPr>
      </w:pPr>
      <w:r>
        <w:rPr>
          <w:sz w:val="20"/>
          <w:szCs w:val="20"/>
        </w:rPr>
        <w:t>Post-retrieval optimization has received considerable attention. Nogueira and Cho [21] demonstrated substantial gains from reranking retrieved passages using cross-encoders that jointly process queries and documents. While computationally expensive, reranking moves the most relevant documents to top positions, improving downstream generation quality. Complementary work on context distillation and parent-document strategies addresses context window limitations by intelligently summarizing or selecting portions of retrieved content [4].</w:t>
      </w:r>
    </w:p>
    <w:p w14:paraId="1A43C64F" w14:textId="77777777" w:rsidR="00576BF7" w:rsidRDefault="00000000">
      <w:pPr>
        <w:spacing w:before="240" w:after="240"/>
        <w:jc w:val="both"/>
        <w:rPr>
          <w:sz w:val="20"/>
          <w:szCs w:val="20"/>
        </w:rPr>
      </w:pPr>
      <w:r>
        <w:rPr>
          <w:b/>
          <w:bCs/>
          <w:sz w:val="20"/>
          <w:szCs w:val="20"/>
        </w:rPr>
        <w:t>C. Agentic RAG Systems</w:t>
      </w:r>
    </w:p>
    <w:p w14:paraId="351B7B79" w14:textId="77777777" w:rsidR="00576BF7" w:rsidRDefault="00000000">
      <w:pPr>
        <w:spacing w:before="240" w:after="240"/>
        <w:jc w:val="both"/>
        <w:rPr>
          <w:sz w:val="20"/>
          <w:szCs w:val="20"/>
        </w:rPr>
      </w:pPr>
      <w:r>
        <w:rPr>
          <w:sz w:val="20"/>
          <w:szCs w:val="20"/>
        </w:rPr>
        <w:t>The emergence of Agentic RAG represents the current frontier. Asai et al. [24] introduced Self-RAG, incorporating explicit reflection mechanisms where models critique their own outputs for correctness, relevance, and completeness, then adaptively retrieve additional information or revise generation strategies. Evaluation on six knowledge-intensive tasks showed Self-RAG outperforming standard RAG and parameter-matched models without retrieval.</w:t>
      </w:r>
    </w:p>
    <w:p w14:paraId="7A5CA253" w14:textId="77777777" w:rsidR="00576BF7" w:rsidRDefault="00000000">
      <w:pPr>
        <w:spacing w:before="240" w:after="240"/>
        <w:jc w:val="both"/>
        <w:rPr>
          <w:sz w:val="20"/>
          <w:szCs w:val="20"/>
        </w:rPr>
      </w:pPr>
      <w:r>
        <w:rPr>
          <w:sz w:val="20"/>
          <w:szCs w:val="20"/>
        </w:rPr>
        <w:t xml:space="preserve">Yao et al. [26] developed </w:t>
      </w:r>
      <w:proofErr w:type="spellStart"/>
      <w:r>
        <w:rPr>
          <w:sz w:val="20"/>
          <w:szCs w:val="20"/>
        </w:rPr>
        <w:t>ReAct</w:t>
      </w:r>
      <w:proofErr w:type="spellEnd"/>
      <w:r>
        <w:rPr>
          <w:sz w:val="20"/>
          <w:szCs w:val="20"/>
        </w:rPr>
        <w:t xml:space="preserve"> (Reasoning + Acting), demonstrating that language models can learn to autonomously select among multiple tools including retrieval, calculation, and knowledge base queries. </w:t>
      </w:r>
      <w:proofErr w:type="spellStart"/>
      <w:r>
        <w:rPr>
          <w:sz w:val="20"/>
          <w:szCs w:val="20"/>
        </w:rPr>
        <w:t>ReAct</w:t>
      </w:r>
      <w:proofErr w:type="spellEnd"/>
      <w:r>
        <w:rPr>
          <w:sz w:val="20"/>
          <w:szCs w:val="20"/>
        </w:rPr>
        <w:t xml:space="preserve"> agents maintain explicit reasoning traces, enabling interpretability and debugging of multi-step decision processes. Schick et al. [27] extended this concept with </w:t>
      </w:r>
      <w:proofErr w:type="spellStart"/>
      <w:r>
        <w:rPr>
          <w:sz w:val="20"/>
          <w:szCs w:val="20"/>
        </w:rPr>
        <w:t>Toolformer</w:t>
      </w:r>
      <w:proofErr w:type="spellEnd"/>
      <w:r>
        <w:rPr>
          <w:sz w:val="20"/>
          <w:szCs w:val="20"/>
        </w:rPr>
        <w:t>, showing that language models can learn to invoke external tools through in-context demonstrations without specialized training.</w:t>
      </w:r>
    </w:p>
    <w:p w14:paraId="4ECC5465" w14:textId="77777777" w:rsidR="00576BF7" w:rsidRDefault="00000000">
      <w:pPr>
        <w:spacing w:before="240" w:after="240"/>
        <w:jc w:val="both"/>
        <w:rPr>
          <w:sz w:val="20"/>
          <w:szCs w:val="20"/>
        </w:rPr>
      </w:pPr>
      <w:r>
        <w:rPr>
          <w:sz w:val="20"/>
          <w:szCs w:val="20"/>
        </w:rPr>
        <w:t xml:space="preserve">Industry implementations have rapidly scaled these concepts. Microsoft's Agentic Retrieval [28, 52] uses LLMs to perform context-aware query planning, decomposing complex inputs into focused subqueries executing in parallel. Google's </w:t>
      </w:r>
      <w:proofErr w:type="spellStart"/>
      <w:r>
        <w:rPr>
          <w:sz w:val="20"/>
          <w:szCs w:val="20"/>
        </w:rPr>
        <w:t>Agentspace</w:t>
      </w:r>
      <w:proofErr w:type="spellEnd"/>
      <w:r>
        <w:rPr>
          <w:sz w:val="20"/>
          <w:szCs w:val="20"/>
        </w:rPr>
        <w:t xml:space="preserve"> [59] provides centralized governance for multi-agent ecosystems, addressing coordination challenges in enterprise deployments with numerous specialized agents.</w:t>
      </w:r>
    </w:p>
    <w:p w14:paraId="0FCE857B" w14:textId="77777777" w:rsidR="00576BF7" w:rsidRDefault="00000000">
      <w:pPr>
        <w:spacing w:before="240" w:after="240"/>
        <w:jc w:val="both"/>
        <w:rPr>
          <w:b/>
          <w:bCs/>
          <w:sz w:val="20"/>
          <w:szCs w:val="20"/>
        </w:rPr>
      </w:pPr>
      <w:r>
        <w:rPr>
          <w:b/>
          <w:bCs/>
          <w:sz w:val="20"/>
          <w:szCs w:val="20"/>
        </w:rPr>
        <w:t>D. Knowledge Graph Integration</w:t>
      </w:r>
    </w:p>
    <w:p w14:paraId="00E36A8C" w14:textId="77777777" w:rsidR="00576BF7" w:rsidRDefault="00000000">
      <w:pPr>
        <w:spacing w:before="240" w:after="240"/>
        <w:jc w:val="both"/>
        <w:rPr>
          <w:sz w:val="20"/>
          <w:szCs w:val="20"/>
        </w:rPr>
      </w:pPr>
      <w:proofErr w:type="spellStart"/>
      <w:r>
        <w:rPr>
          <w:sz w:val="20"/>
          <w:szCs w:val="20"/>
        </w:rPr>
        <w:t>GraphRAG</w:t>
      </w:r>
      <w:proofErr w:type="spellEnd"/>
      <w:r>
        <w:rPr>
          <w:sz w:val="20"/>
          <w:szCs w:val="20"/>
        </w:rPr>
        <w:t xml:space="preserve"> architectures address limitations of unstructured text retrieval by incorporating structured knowledge representations. Pan et al. [34] surveyed knowledge graph-LLM integration approaches, identifying three primary patterns: KG-enhanced retrieval (using graph structure to identify relevant entities), KG-enhanced prompting (incorporating graph facts into prompts), and KG-enhanced fine-tuning (training on graph-derived data).</w:t>
      </w:r>
    </w:p>
    <w:p w14:paraId="2F7B2C71" w14:textId="77777777" w:rsidR="00576BF7" w:rsidRDefault="00000000">
      <w:pPr>
        <w:spacing w:before="240" w:after="240"/>
        <w:jc w:val="both"/>
        <w:rPr>
          <w:sz w:val="20"/>
          <w:szCs w:val="20"/>
        </w:rPr>
      </w:pPr>
      <w:r>
        <w:rPr>
          <w:sz w:val="20"/>
          <w:szCs w:val="20"/>
        </w:rPr>
        <w:t xml:space="preserve">Microsoft Research's </w:t>
      </w:r>
      <w:proofErr w:type="spellStart"/>
      <w:r>
        <w:rPr>
          <w:sz w:val="20"/>
          <w:szCs w:val="20"/>
        </w:rPr>
        <w:t>GraphRAG</w:t>
      </w:r>
      <w:proofErr w:type="spellEnd"/>
      <w:r>
        <w:rPr>
          <w:sz w:val="20"/>
          <w:szCs w:val="20"/>
        </w:rPr>
        <w:t xml:space="preserve"> implementation [36] demonstrated substantial improvements on global queries requiring corpus-wide understanding. The system constructs entity knowledge graphs from source documents through LLM-based extraction, then generates community summaries for closely related entity groups. At query time, relevant communities are identified and their summaries provide </w:t>
      </w:r>
      <w:r>
        <w:rPr>
          <w:sz w:val="20"/>
          <w:szCs w:val="20"/>
        </w:rPr>
        <w:lastRenderedPageBreak/>
        <w:t xml:space="preserve">context for generation. Evaluation on diverse datasets showed </w:t>
      </w:r>
      <w:proofErr w:type="spellStart"/>
      <w:r>
        <w:rPr>
          <w:sz w:val="20"/>
          <w:szCs w:val="20"/>
        </w:rPr>
        <w:t>GraphRAG</w:t>
      </w:r>
      <w:proofErr w:type="spellEnd"/>
      <w:r>
        <w:rPr>
          <w:sz w:val="20"/>
          <w:szCs w:val="20"/>
        </w:rPr>
        <w:t xml:space="preserve"> achieving 2-4x improvement in comprehensiveness and diversity compared to conventional RAG.</w:t>
      </w:r>
    </w:p>
    <w:p w14:paraId="2364ABA4" w14:textId="77777777" w:rsidR="00576BF7" w:rsidRDefault="00000000">
      <w:pPr>
        <w:spacing w:before="240" w:after="240"/>
        <w:jc w:val="both"/>
        <w:rPr>
          <w:sz w:val="20"/>
          <w:szCs w:val="20"/>
        </w:rPr>
      </w:pPr>
      <w:r>
        <w:rPr>
          <w:sz w:val="20"/>
          <w:szCs w:val="20"/>
        </w:rPr>
        <w:t xml:space="preserve">Domain-specific applications have emerged rapidly. Medical Graph RAG [39] integrates medical knowledge graphs with clinical text retrieval to enhance safety in healthcare applications. </w:t>
      </w:r>
      <w:proofErr w:type="spellStart"/>
      <w:r>
        <w:rPr>
          <w:sz w:val="20"/>
          <w:szCs w:val="20"/>
        </w:rPr>
        <w:t>PathRAG</w:t>
      </w:r>
      <w:proofErr w:type="spellEnd"/>
      <w:r>
        <w:rPr>
          <w:sz w:val="20"/>
          <w:szCs w:val="20"/>
        </w:rPr>
        <w:t xml:space="preserve"> optimizes graph traversal by pruning irrelevant paths based on query semantics, reducing computational cost while maintaining accuracy [39].</w:t>
      </w:r>
    </w:p>
    <w:p w14:paraId="68198795" w14:textId="77777777" w:rsidR="00576BF7" w:rsidRDefault="00000000">
      <w:pPr>
        <w:spacing w:before="240" w:after="240"/>
        <w:jc w:val="both"/>
        <w:rPr>
          <w:b/>
          <w:bCs/>
          <w:sz w:val="20"/>
          <w:szCs w:val="20"/>
        </w:rPr>
      </w:pPr>
      <w:r>
        <w:rPr>
          <w:b/>
          <w:bCs/>
          <w:sz w:val="20"/>
          <w:szCs w:val="20"/>
        </w:rPr>
        <w:t>E. Multimodal RAG</w:t>
      </w:r>
    </w:p>
    <w:p w14:paraId="36734EE3" w14:textId="77777777" w:rsidR="00576BF7" w:rsidRDefault="00000000">
      <w:pPr>
        <w:spacing w:before="240" w:after="240"/>
        <w:jc w:val="both"/>
        <w:rPr>
          <w:sz w:val="20"/>
          <w:szCs w:val="20"/>
        </w:rPr>
      </w:pPr>
      <w:r>
        <w:rPr>
          <w:sz w:val="20"/>
          <w:szCs w:val="20"/>
        </w:rPr>
        <w:t xml:space="preserve">Extension to multimodal data represents a critical frontier. Ravi et al. [41] provided comprehensive survey of multimodal RAG architectures, identifying three primary approaches: (1) common embedding spaces using models like CLIP [45] to encode images and text into shared representations; (2) modality-specific pipelines with dedicated retrievers and </w:t>
      </w:r>
      <w:proofErr w:type="spellStart"/>
      <w:r>
        <w:rPr>
          <w:sz w:val="20"/>
          <w:szCs w:val="20"/>
        </w:rPr>
        <w:t>rerankers</w:t>
      </w:r>
      <w:proofErr w:type="spellEnd"/>
      <w:r>
        <w:rPr>
          <w:sz w:val="20"/>
          <w:szCs w:val="20"/>
        </w:rPr>
        <w:t xml:space="preserve"> for each modality; (3) unified textual grounding converting all modalities to text through automatic speech recognition, vision-language models, and structured extraction [46, 47].</w:t>
      </w:r>
    </w:p>
    <w:p w14:paraId="00A61DE8" w14:textId="77777777" w:rsidR="00576BF7" w:rsidRDefault="00000000">
      <w:pPr>
        <w:spacing w:before="240" w:after="240"/>
        <w:jc w:val="both"/>
        <w:rPr>
          <w:sz w:val="20"/>
          <w:szCs w:val="20"/>
        </w:rPr>
      </w:pPr>
      <w:r>
        <w:rPr>
          <w:sz w:val="20"/>
          <w:szCs w:val="20"/>
        </w:rPr>
        <w:t xml:space="preserve">Practical implementations demonstrate significant utility. Multi-RAG [48] processes video through parallel visual and audio streams, enabling complex reasoning over multi-source information. Enterprise platforms like </w:t>
      </w:r>
      <w:proofErr w:type="spellStart"/>
      <w:r>
        <w:rPr>
          <w:sz w:val="20"/>
          <w:szCs w:val="20"/>
        </w:rPr>
        <w:t>Ragie</w:t>
      </w:r>
      <w:proofErr w:type="spellEnd"/>
      <w:r>
        <w:rPr>
          <w:sz w:val="20"/>
          <w:szCs w:val="20"/>
        </w:rPr>
        <w:t xml:space="preserve"> have implemented native audio and video support, addressing unique challenges including temporal chunking, transcript alignment, and visual element extraction [47].</w:t>
      </w:r>
    </w:p>
    <w:p w14:paraId="7FD5ECAC" w14:textId="77777777" w:rsidR="00576BF7" w:rsidRDefault="00000000">
      <w:pPr>
        <w:spacing w:before="240" w:after="240"/>
        <w:jc w:val="both"/>
        <w:rPr>
          <w:sz w:val="20"/>
          <w:szCs w:val="20"/>
        </w:rPr>
      </w:pPr>
      <w:r>
        <w:rPr>
          <w:b/>
          <w:bCs/>
          <w:sz w:val="20"/>
          <w:szCs w:val="20"/>
        </w:rPr>
        <w:t>F. Evaluation Methodologies</w:t>
      </w:r>
    </w:p>
    <w:p w14:paraId="4CE586CF" w14:textId="77777777" w:rsidR="00576BF7" w:rsidRDefault="00000000">
      <w:pPr>
        <w:spacing w:before="240" w:after="240"/>
        <w:jc w:val="both"/>
        <w:rPr>
          <w:sz w:val="20"/>
          <w:szCs w:val="20"/>
        </w:rPr>
      </w:pPr>
      <w:r>
        <w:rPr>
          <w:sz w:val="20"/>
          <w:szCs w:val="20"/>
        </w:rPr>
        <w:t>Rigorous evaluation remains challenging. Traditional NLP metrics (BLEU, ROUGE) inadequately capture retrieval quality, factual accuracy, and generation faithfulness. Specialized frameworks have emerged to address this gap. Es et al. [81] developed RAGAS, providing reference-free metrics including faithfulness (consistency between generation and retrieved context), answer relevance (appropriateness of response to query), and context precision (relevance of retrieved documents).</w:t>
      </w:r>
    </w:p>
    <w:p w14:paraId="1C71900A" w14:textId="77777777" w:rsidR="00576BF7" w:rsidRDefault="00000000">
      <w:pPr>
        <w:spacing w:before="240" w:after="240"/>
        <w:jc w:val="both"/>
        <w:rPr>
          <w:sz w:val="20"/>
          <w:szCs w:val="20"/>
        </w:rPr>
      </w:pPr>
      <w:r>
        <w:rPr>
          <w:sz w:val="20"/>
          <w:szCs w:val="20"/>
        </w:rPr>
        <w:t xml:space="preserve">The 2024 TREC RAG Track [15] introduced standardized evaluation through the Ragnarök framework, providing reusable infrastructure and industrial baselines for reproducible assessment. Benchmarks include MS MARCO for passage retrieval, Natural Questions for open-domain QA, and </w:t>
      </w:r>
      <w:proofErr w:type="spellStart"/>
      <w:r>
        <w:rPr>
          <w:sz w:val="20"/>
          <w:szCs w:val="20"/>
        </w:rPr>
        <w:t>HotpotQA</w:t>
      </w:r>
      <w:proofErr w:type="spellEnd"/>
      <w:r>
        <w:rPr>
          <w:sz w:val="20"/>
          <w:szCs w:val="20"/>
        </w:rPr>
        <w:t xml:space="preserve"> for multi-hop reasoning [80].</w:t>
      </w:r>
    </w:p>
    <w:p w14:paraId="4BAF8522" w14:textId="77777777" w:rsidR="00576BF7" w:rsidRDefault="00000000">
      <w:pPr>
        <w:spacing w:before="240" w:after="240"/>
        <w:jc w:val="center"/>
        <w:rPr>
          <w:sz w:val="20"/>
          <w:szCs w:val="20"/>
        </w:rPr>
      </w:pPr>
      <w:r>
        <w:rPr>
          <w:noProof/>
          <w:sz w:val="20"/>
          <w:szCs w:val="20"/>
        </w:rPr>
        <w:drawing>
          <wp:inline distT="114300" distB="114300" distL="114300" distR="114300" wp14:anchorId="611C7F4E" wp14:editId="1D4CB2F2">
            <wp:extent cx="3653131" cy="324516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4676" t="4620" r="4269" b="5686"/>
                    <a:stretch>
                      <a:fillRect/>
                    </a:stretch>
                  </pic:blipFill>
                  <pic:spPr>
                    <a:xfrm>
                      <a:off x="0" y="0"/>
                      <a:ext cx="3653131" cy="3245167"/>
                    </a:xfrm>
                    <a:prstGeom prst="rect">
                      <a:avLst/>
                    </a:prstGeom>
                    <a:ln/>
                  </pic:spPr>
                </pic:pic>
              </a:graphicData>
            </a:graphic>
          </wp:inline>
        </w:drawing>
      </w:r>
    </w:p>
    <w:p w14:paraId="2793375B" w14:textId="77777777" w:rsidR="00576BF7" w:rsidRDefault="00000000">
      <w:pPr>
        <w:spacing w:before="240" w:after="240"/>
        <w:jc w:val="both"/>
        <w:rPr>
          <w:sz w:val="20"/>
          <w:szCs w:val="20"/>
        </w:rPr>
      </w:pPr>
      <w:r>
        <w:rPr>
          <w:b/>
          <w:bCs/>
          <w:sz w:val="20"/>
          <w:szCs w:val="20"/>
        </w:rPr>
        <w:t>G. Research Gaps</w:t>
      </w:r>
    </w:p>
    <w:p w14:paraId="55BF54E8" w14:textId="77777777" w:rsidR="00576BF7" w:rsidRDefault="00000000">
      <w:pPr>
        <w:jc w:val="both"/>
        <w:rPr>
          <w:sz w:val="20"/>
          <w:szCs w:val="20"/>
        </w:rPr>
      </w:pPr>
      <w:r>
        <w:rPr>
          <w:sz w:val="20"/>
          <w:szCs w:val="20"/>
        </w:rPr>
        <w:t>Despite substantial progress, several gaps persist in current literature:</w:t>
      </w:r>
    </w:p>
    <w:p w14:paraId="282920A0" w14:textId="77777777" w:rsidR="00576BF7" w:rsidRDefault="00000000">
      <w:pPr>
        <w:jc w:val="both"/>
        <w:rPr>
          <w:sz w:val="20"/>
          <w:szCs w:val="20"/>
        </w:rPr>
      </w:pPr>
      <w:r>
        <w:rPr>
          <w:sz w:val="20"/>
          <w:szCs w:val="20"/>
        </w:rPr>
        <w:t>1. Limited Comparative Analysis: Most studies evaluate single architectures or narrow component variations, lacking systematic comparison across the full architectural spectrum under standardized conditions.</w:t>
      </w:r>
    </w:p>
    <w:p w14:paraId="4CD55385" w14:textId="77777777" w:rsidR="00576BF7" w:rsidRDefault="00000000">
      <w:pPr>
        <w:jc w:val="both"/>
        <w:rPr>
          <w:sz w:val="20"/>
          <w:szCs w:val="20"/>
        </w:rPr>
      </w:pPr>
      <w:r>
        <w:rPr>
          <w:sz w:val="20"/>
          <w:szCs w:val="20"/>
        </w:rPr>
        <w:lastRenderedPageBreak/>
        <w:t>2. Incomplete Performance Characterization: Published research typically reports accuracy metrics (MRR, NDCG) but rarely includes comprehensive latency, cost, and scalability analysis critical for production deployment.</w:t>
      </w:r>
    </w:p>
    <w:p w14:paraId="2EF1F467" w14:textId="77777777" w:rsidR="00576BF7" w:rsidRDefault="00000000">
      <w:pPr>
        <w:jc w:val="both"/>
        <w:rPr>
          <w:sz w:val="20"/>
          <w:szCs w:val="20"/>
        </w:rPr>
      </w:pPr>
      <w:r>
        <w:rPr>
          <w:sz w:val="20"/>
          <w:szCs w:val="20"/>
        </w:rPr>
        <w:t>3. Vendor-Specific Evaluation: Industry implementations are primarily evaluated through vendor-provided benchmarks, lacking independent verification and cross-platform comparison.</w:t>
      </w:r>
    </w:p>
    <w:p w14:paraId="1339DA27" w14:textId="77777777" w:rsidR="00576BF7" w:rsidRDefault="00000000">
      <w:pPr>
        <w:jc w:val="both"/>
        <w:rPr>
          <w:sz w:val="20"/>
          <w:szCs w:val="20"/>
        </w:rPr>
      </w:pPr>
      <w:r>
        <w:rPr>
          <w:sz w:val="20"/>
          <w:szCs w:val="20"/>
        </w:rPr>
        <w:t>4. Component Interaction Effects: Existing work studies individual components (hybrid retrieval, reranking, knowledge graphs) in isolation, providing limited insight into synergistic effects when combined.</w:t>
      </w:r>
    </w:p>
    <w:p w14:paraId="2D72CFA1" w14:textId="77777777" w:rsidR="00576BF7" w:rsidRDefault="00000000">
      <w:pPr>
        <w:jc w:val="both"/>
        <w:rPr>
          <w:sz w:val="20"/>
          <w:szCs w:val="20"/>
          <w:shd w:val="clear" w:color="auto" w:fill="FFF2CC"/>
        </w:rPr>
      </w:pPr>
      <w:r>
        <w:rPr>
          <w:sz w:val="20"/>
          <w:szCs w:val="20"/>
        </w:rPr>
        <w:t>5. Practical Deployment Guidance: Academic research focuses on theoretical performance, with insufficient attention to operational considerations including monitoring, debugging, and incremental updates in production environments.</w:t>
      </w:r>
    </w:p>
    <w:p w14:paraId="28941594" w14:textId="77777777" w:rsidR="00576BF7" w:rsidRDefault="00000000">
      <w:pPr>
        <w:keepNext/>
        <w:numPr>
          <w:ilvl w:val="0"/>
          <w:numId w:val="3"/>
        </w:numPr>
        <w:spacing w:before="240" w:after="80"/>
        <w:jc w:val="center"/>
        <w:rPr>
          <w:smallCaps/>
          <w:sz w:val="20"/>
          <w:szCs w:val="20"/>
        </w:rPr>
      </w:pPr>
      <w:r>
        <w:rPr>
          <w:smallCaps/>
          <w:sz w:val="20"/>
          <w:szCs w:val="20"/>
        </w:rPr>
        <w:t>TAXONOMY OF RAG ARCHITECTURES</w:t>
      </w:r>
    </w:p>
    <w:p w14:paraId="540C8A2F" w14:textId="77777777" w:rsidR="00576BF7" w:rsidRDefault="00000000">
      <w:pPr>
        <w:jc w:val="both"/>
        <w:rPr>
          <w:sz w:val="20"/>
          <w:szCs w:val="20"/>
          <w:highlight w:val="white"/>
        </w:rPr>
      </w:pPr>
      <w:r>
        <w:rPr>
          <w:sz w:val="20"/>
          <w:szCs w:val="20"/>
          <w:highlight w:val="white"/>
        </w:rPr>
        <w:t>The architectural development of Retrieval-Augmented Generation systems can be classified into four distinct generations, reflecting the industry's progression in overcoming the fundamental challenges of retrieval noise, context misalignment, and pipeline inefficiencies[4]. This taxonomy categorizes RAG based on the complexity of its retrieval process, the degree of optimization, and the role of autonomous control.</w:t>
      </w:r>
    </w:p>
    <w:p w14:paraId="001E087E" w14:textId="77777777" w:rsidR="00576BF7" w:rsidRDefault="00576BF7">
      <w:pPr>
        <w:jc w:val="both"/>
        <w:rPr>
          <w:sz w:val="20"/>
          <w:szCs w:val="20"/>
          <w:highlight w:val="white"/>
        </w:rPr>
      </w:pPr>
    </w:p>
    <w:p w14:paraId="1B386DF7" w14:textId="77777777" w:rsidR="00576BF7" w:rsidRDefault="00000000">
      <w:pPr>
        <w:spacing w:before="240" w:after="240"/>
        <w:jc w:val="both"/>
        <w:rPr>
          <w:b/>
          <w:bCs/>
          <w:sz w:val="20"/>
          <w:szCs w:val="20"/>
        </w:rPr>
      </w:pPr>
      <w:r>
        <w:rPr>
          <w:b/>
          <w:bCs/>
          <w:sz w:val="20"/>
          <w:szCs w:val="20"/>
        </w:rPr>
        <w:t>3.1. Naive RAG and Advanced RAG</w:t>
      </w:r>
    </w:p>
    <w:p w14:paraId="5EDF6C4E" w14:textId="77777777" w:rsidR="00576BF7" w:rsidRDefault="00000000">
      <w:pPr>
        <w:widowControl w:val="0"/>
        <w:spacing w:after="240" w:line="275" w:lineRule="auto"/>
        <w:rPr>
          <w:sz w:val="20"/>
          <w:szCs w:val="20"/>
        </w:rPr>
      </w:pPr>
      <w:r>
        <w:rPr>
          <w:sz w:val="20"/>
          <w:szCs w:val="20"/>
        </w:rPr>
        <w:t>Naive RAG represents the initial paradigm, characterized by a simple, fixed, single-step retrieval pipeline. The process involves a query, followed by vector search in a knowledge base, and then feeding the top-$N$ retrieved documents directly to the LLM for generation. While foundational in providing factual grounding, its fixed nature quickly revealed limitations in addressing complex or ambiguous queries[4].</w:t>
      </w:r>
    </w:p>
    <w:p w14:paraId="3C4AD0D1" w14:textId="77777777" w:rsidR="00576BF7" w:rsidRDefault="00000000">
      <w:pPr>
        <w:widowControl w:val="0"/>
        <w:spacing w:after="120" w:line="275" w:lineRule="auto"/>
        <w:rPr>
          <w:sz w:val="20"/>
          <w:szCs w:val="20"/>
        </w:rPr>
      </w:pPr>
      <w:r>
        <w:rPr>
          <w:sz w:val="20"/>
          <w:szCs w:val="20"/>
        </w:rPr>
        <w:t>Advanced RAG emerged to address these deficiencies by introducing pre- and post-retrieval optimization loops[4].</w:t>
      </w:r>
    </w:p>
    <w:p w14:paraId="1D39ABA8" w14:textId="77777777" w:rsidR="00576BF7" w:rsidRDefault="00000000">
      <w:pPr>
        <w:widowControl w:val="0"/>
        <w:numPr>
          <w:ilvl w:val="0"/>
          <w:numId w:val="2"/>
        </w:numPr>
        <w:spacing w:line="275" w:lineRule="auto"/>
        <w:rPr>
          <w:sz w:val="20"/>
          <w:szCs w:val="20"/>
        </w:rPr>
      </w:pPr>
      <w:r>
        <w:rPr>
          <w:sz w:val="20"/>
          <w:szCs w:val="20"/>
        </w:rPr>
        <w:t xml:space="preserve">Pre-retrieval enhancements focus on improving the initial query and document indexing. Techniques include query expansion (e.g., </w:t>
      </w:r>
      <w:proofErr w:type="spellStart"/>
      <w:r>
        <w:rPr>
          <w:sz w:val="20"/>
          <w:szCs w:val="20"/>
        </w:rPr>
        <w:t>HyDE</w:t>
      </w:r>
      <w:proofErr w:type="spellEnd"/>
      <w:r>
        <w:rPr>
          <w:sz w:val="20"/>
          <w:szCs w:val="20"/>
        </w:rPr>
        <w:t xml:space="preserve"> [12]) to bridge phrasing gaps, and reflection-based question augmentation, where the system identifies and clarifies ambiguous jargon or domain-specific terms before retrieval commences. This reflective step, exemplified by the Golden-Retriever RAG architecture [13], is crucial for enhancing retrieval relevance in industrial and technical knowledge domains[13].</w:t>
      </w:r>
    </w:p>
    <w:p w14:paraId="487B1BAE" w14:textId="77777777" w:rsidR="00576BF7" w:rsidRDefault="00000000">
      <w:pPr>
        <w:widowControl w:val="0"/>
        <w:numPr>
          <w:ilvl w:val="0"/>
          <w:numId w:val="2"/>
        </w:numPr>
        <w:spacing w:after="120" w:line="275" w:lineRule="auto"/>
        <w:rPr>
          <w:sz w:val="20"/>
          <w:szCs w:val="20"/>
        </w:rPr>
      </w:pPr>
      <w:r>
        <w:rPr>
          <w:sz w:val="20"/>
          <w:szCs w:val="20"/>
        </w:rPr>
        <w:t>Post-retrieval enhancements refine the retrieved context before it reaches the generator. Common techniques include semantic re-ranking (using cross-encoders [14]) and context distillation (summarization or parent-document logic) to ensure the highest-quality, most relevant information fits within the LLM's context window[4].</w:t>
      </w:r>
    </w:p>
    <w:p w14:paraId="35E1BF46" w14:textId="77777777" w:rsidR="00576BF7" w:rsidRDefault="00000000">
      <w:pPr>
        <w:pStyle w:val="Heading3"/>
        <w:keepNext w:val="0"/>
        <w:widowControl w:val="0"/>
        <w:spacing w:after="120" w:line="275" w:lineRule="auto"/>
        <w:ind w:left="0"/>
      </w:pPr>
      <w:r>
        <w:rPr>
          <w:b/>
          <w:bCs/>
          <w:i w:val="0"/>
          <w:iCs w:val="0"/>
        </w:rPr>
        <w:t>3.2. Modular RAG and Agentic RAG</w:t>
      </w:r>
    </w:p>
    <w:p w14:paraId="3073AAD6" w14:textId="77777777" w:rsidR="00576BF7" w:rsidRDefault="00000000">
      <w:pPr>
        <w:widowControl w:val="0"/>
        <w:spacing w:after="240" w:line="275" w:lineRule="auto"/>
        <w:rPr>
          <w:sz w:val="20"/>
          <w:szCs w:val="20"/>
        </w:rPr>
      </w:pPr>
      <w:r>
        <w:rPr>
          <w:sz w:val="20"/>
          <w:szCs w:val="20"/>
        </w:rPr>
        <w:t>Modular RAG represents a strategic shift toward decoupling the core RAG components retriever, generator, and fusion into interchangeable, specialized units[18]. This design promotes greater versatility and adaptability, allowing for end-to-end training across specialized components and supporting sequential processing[18]. Modular RAG systems typically incorporate dedicated search modules for similarity queries and allow for the careful fine-tuning of individual retrievers to optimize performance.</w:t>
      </w:r>
    </w:p>
    <w:p w14:paraId="606D9561" w14:textId="77777777" w:rsidR="00576BF7" w:rsidRDefault="00000000">
      <w:pPr>
        <w:widowControl w:val="0"/>
        <w:spacing w:after="120" w:line="275" w:lineRule="auto"/>
        <w:rPr>
          <w:sz w:val="20"/>
          <w:szCs w:val="20"/>
        </w:rPr>
      </w:pPr>
      <w:r>
        <w:rPr>
          <w:sz w:val="20"/>
          <w:szCs w:val="20"/>
        </w:rPr>
        <w:t>Agentic RAG (2024–2025) constitutes the current frontier. This architecture moves beyond static or modular fixed pipelines by placing retrieval entirely under the control of autonomous AI agents[7]. The core innovation is the dynamic, multi-step execution path:</w:t>
      </w:r>
    </w:p>
    <w:p w14:paraId="67088892" w14:textId="77777777" w:rsidR="00576BF7" w:rsidRDefault="00000000">
      <w:pPr>
        <w:widowControl w:val="0"/>
        <w:numPr>
          <w:ilvl w:val="0"/>
          <w:numId w:val="1"/>
        </w:numPr>
        <w:spacing w:line="275" w:lineRule="auto"/>
      </w:pPr>
      <w:r>
        <w:rPr>
          <w:sz w:val="20"/>
          <w:szCs w:val="20"/>
        </w:rPr>
        <w:t>Planning: An agent first analyzes the query and breaks down complex requests into a sequence of focused subqueries or tasks[7].</w:t>
      </w:r>
    </w:p>
    <w:p w14:paraId="4D6C3D2D" w14:textId="77777777" w:rsidR="00576BF7" w:rsidRDefault="00000000">
      <w:pPr>
        <w:widowControl w:val="0"/>
        <w:numPr>
          <w:ilvl w:val="0"/>
          <w:numId w:val="1"/>
        </w:numPr>
        <w:spacing w:line="275" w:lineRule="auto"/>
      </w:pPr>
      <w:r>
        <w:rPr>
          <w:sz w:val="20"/>
          <w:szCs w:val="20"/>
        </w:rPr>
        <w:t>Tool Use: The agent dynamically chooses the appropriate tool for each step, which may include vector search, full-text keyword search, or external API calls[7].</w:t>
      </w:r>
    </w:p>
    <w:p w14:paraId="4C73D604" w14:textId="77777777" w:rsidR="00576BF7" w:rsidRDefault="00000000">
      <w:pPr>
        <w:widowControl w:val="0"/>
        <w:numPr>
          <w:ilvl w:val="0"/>
          <w:numId w:val="1"/>
        </w:numPr>
        <w:spacing w:after="120" w:line="275" w:lineRule="auto"/>
      </w:pPr>
      <w:r>
        <w:rPr>
          <w:sz w:val="20"/>
          <w:szCs w:val="20"/>
        </w:rPr>
        <w:t>Reflection: The agent assesses intermediate results, corrects flawed subqueries, and adapts the overall retrieval strategy in real-time.</w:t>
      </w:r>
    </w:p>
    <w:p w14:paraId="12E63C29" w14:textId="77777777" w:rsidR="00576BF7" w:rsidRDefault="00000000">
      <w:pPr>
        <w:widowControl w:val="0"/>
        <w:spacing w:before="240" w:after="240" w:line="275" w:lineRule="auto"/>
        <w:rPr>
          <w:sz w:val="20"/>
          <w:szCs w:val="20"/>
        </w:rPr>
      </w:pPr>
      <w:r>
        <w:rPr>
          <w:sz w:val="20"/>
          <w:szCs w:val="20"/>
        </w:rPr>
        <w:t>This Agentic Retrieval paradigm is mandatory for handling complex enterprise tasks, such as multi-hop reasoning or regulatory compliance checks across disparate systems, where a single, fixed query would inevitably fail[7]. It is central to modern cloud offerings, such as Microsoft Azure's new Agentic Retrieval pipeline, which uses an LLM for context-aware query planning and parallel execution of focused subqueries.</w:t>
      </w:r>
    </w:p>
    <w:p w14:paraId="259EA92B" w14:textId="77777777" w:rsidR="00576BF7" w:rsidRDefault="00000000">
      <w:pPr>
        <w:widowControl w:val="0"/>
        <w:spacing w:after="240" w:line="275" w:lineRule="auto"/>
        <w:rPr>
          <w:b/>
          <w:bCs/>
          <w:sz w:val="20"/>
          <w:szCs w:val="20"/>
        </w:rPr>
      </w:pPr>
      <w:r>
        <w:rPr>
          <w:b/>
          <w:bCs/>
          <w:sz w:val="20"/>
          <w:szCs w:val="20"/>
        </w:rPr>
        <w:lastRenderedPageBreak/>
        <w:t>Table 1: Taxonomy of Evolving RAG Architectures (2023–2025)</w:t>
      </w:r>
    </w:p>
    <w:tbl>
      <w:tblPr>
        <w:tblStyle w:val="a"/>
        <w:tblW w:w="108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2700"/>
        <w:gridCol w:w="2700"/>
        <w:gridCol w:w="2700"/>
      </w:tblGrid>
      <w:tr w:rsidR="00576BF7" w14:paraId="23129EF8" w14:textId="77777777">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52CC99E8" w14:textId="77777777" w:rsidR="00576BF7" w:rsidRDefault="00000000">
            <w:pPr>
              <w:widowControl w:val="0"/>
              <w:spacing w:before="120" w:after="120" w:line="275" w:lineRule="auto"/>
              <w:jc w:val="center"/>
              <w:rPr>
                <w:b/>
                <w:bCs/>
                <w:sz w:val="20"/>
                <w:szCs w:val="20"/>
              </w:rPr>
            </w:pPr>
            <w:r>
              <w:rPr>
                <w:b/>
                <w:bCs/>
                <w:sz w:val="20"/>
                <w:szCs w:val="20"/>
              </w:rPr>
              <w:t>Architectural Model</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0E393778" w14:textId="77777777" w:rsidR="00576BF7" w:rsidRDefault="00000000">
            <w:pPr>
              <w:widowControl w:val="0"/>
              <w:spacing w:before="120" w:after="120" w:line="275" w:lineRule="auto"/>
              <w:jc w:val="center"/>
              <w:rPr>
                <w:b/>
                <w:bCs/>
                <w:sz w:val="20"/>
                <w:szCs w:val="20"/>
              </w:rPr>
            </w:pPr>
            <w:r>
              <w:rPr>
                <w:b/>
                <w:bCs/>
                <w:sz w:val="20"/>
                <w:szCs w:val="20"/>
              </w:rPr>
              <w:t>Defining Feature</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4411B66F" w14:textId="77777777" w:rsidR="00576BF7" w:rsidRDefault="00000000">
            <w:pPr>
              <w:widowControl w:val="0"/>
              <w:spacing w:before="120" w:after="120" w:line="275" w:lineRule="auto"/>
              <w:jc w:val="center"/>
              <w:rPr>
                <w:b/>
                <w:bCs/>
                <w:sz w:val="20"/>
                <w:szCs w:val="20"/>
              </w:rPr>
            </w:pPr>
            <w:r>
              <w:rPr>
                <w:b/>
                <w:bCs/>
                <w:sz w:val="20"/>
                <w:szCs w:val="20"/>
              </w:rPr>
              <w:t>Primary Goal</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769090DE" w14:textId="77777777" w:rsidR="00576BF7" w:rsidRDefault="00000000">
            <w:pPr>
              <w:widowControl w:val="0"/>
              <w:spacing w:before="120" w:after="120" w:line="275" w:lineRule="auto"/>
              <w:jc w:val="center"/>
              <w:rPr>
                <w:b/>
                <w:bCs/>
                <w:sz w:val="20"/>
                <w:szCs w:val="20"/>
              </w:rPr>
            </w:pPr>
            <w:r>
              <w:rPr>
                <w:b/>
                <w:bCs/>
                <w:sz w:val="20"/>
                <w:szCs w:val="20"/>
              </w:rPr>
              <w:t>Example Technique/Advancement</w:t>
            </w:r>
          </w:p>
        </w:tc>
      </w:tr>
      <w:tr w:rsidR="00576BF7" w14:paraId="3C3AD1EF" w14:textId="77777777">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1C694F8F" w14:textId="77777777" w:rsidR="00576BF7" w:rsidRDefault="00000000">
            <w:pPr>
              <w:widowControl w:val="0"/>
              <w:spacing w:before="120" w:after="120" w:line="275" w:lineRule="auto"/>
              <w:jc w:val="center"/>
              <w:rPr>
                <w:sz w:val="20"/>
                <w:szCs w:val="20"/>
              </w:rPr>
            </w:pPr>
            <w:r>
              <w:rPr>
                <w:sz w:val="20"/>
                <w:szCs w:val="20"/>
              </w:rPr>
              <w:t>Naive RAG</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0F1DF506" w14:textId="77777777" w:rsidR="00576BF7" w:rsidRDefault="00000000">
            <w:pPr>
              <w:widowControl w:val="0"/>
              <w:spacing w:before="120" w:after="120" w:line="275" w:lineRule="auto"/>
              <w:jc w:val="center"/>
              <w:rPr>
                <w:sz w:val="20"/>
                <w:szCs w:val="20"/>
              </w:rPr>
            </w:pPr>
            <w:r>
              <w:rPr>
                <w:sz w:val="20"/>
                <w:szCs w:val="20"/>
              </w:rPr>
              <w:t>Fixed, single-step retrieval pipeline.</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0B4D9304" w14:textId="77777777" w:rsidR="00576BF7" w:rsidRDefault="00000000">
            <w:pPr>
              <w:widowControl w:val="0"/>
              <w:spacing w:before="120" w:after="120" w:line="275" w:lineRule="auto"/>
              <w:jc w:val="center"/>
              <w:rPr>
                <w:sz w:val="20"/>
                <w:szCs w:val="20"/>
              </w:rPr>
            </w:pPr>
            <w:r>
              <w:rPr>
                <w:sz w:val="20"/>
                <w:szCs w:val="20"/>
              </w:rPr>
              <w:t>Grounding generation in external documents.</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3A0DBDE5" w14:textId="77777777" w:rsidR="00576BF7" w:rsidRDefault="00000000">
            <w:pPr>
              <w:widowControl w:val="0"/>
              <w:spacing w:before="120" w:after="120" w:line="275" w:lineRule="auto"/>
              <w:jc w:val="center"/>
              <w:rPr>
                <w:sz w:val="20"/>
                <w:szCs w:val="20"/>
              </w:rPr>
            </w:pPr>
            <w:r>
              <w:rPr>
                <w:sz w:val="20"/>
                <w:szCs w:val="20"/>
              </w:rPr>
              <w:t>Simple vector or sparse search.</w:t>
            </w:r>
          </w:p>
        </w:tc>
      </w:tr>
      <w:tr w:rsidR="00576BF7" w14:paraId="0DC8CF09" w14:textId="77777777">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37948C33" w14:textId="77777777" w:rsidR="00576BF7" w:rsidRDefault="00000000">
            <w:pPr>
              <w:widowControl w:val="0"/>
              <w:spacing w:before="120" w:after="120" w:line="275" w:lineRule="auto"/>
              <w:jc w:val="center"/>
              <w:rPr>
                <w:sz w:val="20"/>
                <w:szCs w:val="20"/>
              </w:rPr>
            </w:pPr>
            <w:r>
              <w:rPr>
                <w:sz w:val="20"/>
                <w:szCs w:val="20"/>
              </w:rPr>
              <w:t>Advanced RAG</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58D35A37" w14:textId="77777777" w:rsidR="00576BF7" w:rsidRDefault="00000000">
            <w:pPr>
              <w:widowControl w:val="0"/>
              <w:spacing w:before="120" w:after="120" w:line="275" w:lineRule="auto"/>
              <w:jc w:val="center"/>
              <w:rPr>
                <w:sz w:val="20"/>
                <w:szCs w:val="20"/>
              </w:rPr>
            </w:pPr>
            <w:r>
              <w:rPr>
                <w:sz w:val="20"/>
                <w:szCs w:val="20"/>
              </w:rPr>
              <w:t xml:space="preserve">Pre- and </w:t>
            </w:r>
            <w:proofErr w:type="gramStart"/>
            <w:r>
              <w:rPr>
                <w:sz w:val="20"/>
                <w:szCs w:val="20"/>
              </w:rPr>
              <w:t>Post-retrieval</w:t>
            </w:r>
            <w:proofErr w:type="gramEnd"/>
            <w:r>
              <w:rPr>
                <w:sz w:val="20"/>
                <w:szCs w:val="20"/>
              </w:rPr>
              <w:t xml:space="preserve"> optimization loops.</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3F38DA14" w14:textId="77777777" w:rsidR="00576BF7" w:rsidRDefault="00000000">
            <w:pPr>
              <w:widowControl w:val="0"/>
              <w:spacing w:before="120" w:after="120" w:line="275" w:lineRule="auto"/>
              <w:jc w:val="center"/>
              <w:rPr>
                <w:sz w:val="20"/>
                <w:szCs w:val="20"/>
              </w:rPr>
            </w:pPr>
            <w:r>
              <w:rPr>
                <w:sz w:val="20"/>
                <w:szCs w:val="20"/>
              </w:rPr>
              <w:t>Improve retrieval quality and context fit.</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031312E7" w14:textId="77777777" w:rsidR="00576BF7" w:rsidRDefault="00000000">
            <w:pPr>
              <w:widowControl w:val="0"/>
              <w:spacing w:line="275" w:lineRule="auto"/>
              <w:jc w:val="center"/>
              <w:rPr>
                <w:sz w:val="20"/>
                <w:szCs w:val="20"/>
              </w:rPr>
            </w:pPr>
            <w:r>
              <w:rPr>
                <w:sz w:val="20"/>
                <w:szCs w:val="20"/>
              </w:rPr>
              <w:t xml:space="preserve">Re-ranking, </w:t>
            </w:r>
            <w:proofErr w:type="spellStart"/>
            <w:r>
              <w:rPr>
                <w:sz w:val="20"/>
                <w:szCs w:val="20"/>
              </w:rPr>
              <w:t>HyDE</w:t>
            </w:r>
            <w:proofErr w:type="spellEnd"/>
            <w:r>
              <w:rPr>
                <w:sz w:val="20"/>
                <w:szCs w:val="20"/>
              </w:rPr>
              <w:t xml:space="preserve"> [12], Reflection-based Question Augmentation[13].</w:t>
            </w:r>
          </w:p>
        </w:tc>
      </w:tr>
      <w:tr w:rsidR="00576BF7" w14:paraId="1DF4B63D" w14:textId="77777777">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6BBB38B4" w14:textId="77777777" w:rsidR="00576BF7" w:rsidRDefault="00000000">
            <w:pPr>
              <w:widowControl w:val="0"/>
              <w:spacing w:before="120" w:after="120" w:line="275" w:lineRule="auto"/>
              <w:jc w:val="center"/>
              <w:rPr>
                <w:sz w:val="20"/>
                <w:szCs w:val="20"/>
              </w:rPr>
            </w:pPr>
            <w:r>
              <w:rPr>
                <w:sz w:val="20"/>
                <w:szCs w:val="20"/>
              </w:rPr>
              <w:t>Modular RAG</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087B3739" w14:textId="77777777" w:rsidR="00576BF7" w:rsidRDefault="00000000">
            <w:pPr>
              <w:widowControl w:val="0"/>
              <w:spacing w:before="120" w:after="120" w:line="275" w:lineRule="auto"/>
              <w:jc w:val="center"/>
              <w:rPr>
                <w:sz w:val="20"/>
                <w:szCs w:val="20"/>
              </w:rPr>
            </w:pPr>
            <w:r>
              <w:rPr>
                <w:sz w:val="20"/>
                <w:szCs w:val="20"/>
              </w:rPr>
              <w:t>Decoupled, interchangeable components (Retriever/Generator/Fusion).</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7A02337C" w14:textId="77777777" w:rsidR="00576BF7" w:rsidRDefault="00000000">
            <w:pPr>
              <w:widowControl w:val="0"/>
              <w:spacing w:line="275" w:lineRule="auto"/>
              <w:jc w:val="center"/>
              <w:rPr>
                <w:sz w:val="20"/>
                <w:szCs w:val="20"/>
              </w:rPr>
            </w:pPr>
            <w:r>
              <w:rPr>
                <w:sz w:val="20"/>
                <w:szCs w:val="20"/>
              </w:rPr>
              <w:t>Versatility and end-to-end component optimization.18</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417E1B93" w14:textId="77777777" w:rsidR="00576BF7" w:rsidRDefault="00000000">
            <w:pPr>
              <w:widowControl w:val="0"/>
              <w:spacing w:before="120" w:after="120" w:line="275" w:lineRule="auto"/>
              <w:jc w:val="center"/>
              <w:rPr>
                <w:sz w:val="20"/>
                <w:szCs w:val="20"/>
              </w:rPr>
            </w:pPr>
            <w:r>
              <w:rPr>
                <w:sz w:val="20"/>
                <w:szCs w:val="20"/>
              </w:rPr>
              <w:t>Dedicated search modules, specialized component fine-tuning.</w:t>
            </w:r>
          </w:p>
        </w:tc>
      </w:tr>
      <w:tr w:rsidR="00576BF7" w14:paraId="72698EEA" w14:textId="77777777">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500001D9" w14:textId="77777777" w:rsidR="00576BF7" w:rsidRDefault="00000000">
            <w:pPr>
              <w:widowControl w:val="0"/>
              <w:spacing w:before="120" w:after="120" w:line="275" w:lineRule="auto"/>
              <w:jc w:val="center"/>
              <w:rPr>
                <w:sz w:val="20"/>
                <w:szCs w:val="20"/>
              </w:rPr>
            </w:pPr>
            <w:r>
              <w:rPr>
                <w:sz w:val="20"/>
                <w:szCs w:val="20"/>
              </w:rPr>
              <w:t>Agentic RAG</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2B53CACF" w14:textId="77777777" w:rsidR="00576BF7" w:rsidRDefault="00000000">
            <w:pPr>
              <w:widowControl w:val="0"/>
              <w:spacing w:before="120" w:after="120" w:line="275" w:lineRule="auto"/>
              <w:jc w:val="center"/>
              <w:rPr>
                <w:sz w:val="20"/>
                <w:szCs w:val="20"/>
              </w:rPr>
            </w:pPr>
            <w:r>
              <w:rPr>
                <w:sz w:val="20"/>
                <w:szCs w:val="20"/>
              </w:rPr>
              <w:t>Autonomous agents control multi-step planning and tool use.</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48982D08" w14:textId="77777777" w:rsidR="00576BF7" w:rsidRDefault="00000000">
            <w:pPr>
              <w:widowControl w:val="0"/>
              <w:spacing w:line="275" w:lineRule="auto"/>
              <w:jc w:val="center"/>
              <w:rPr>
                <w:sz w:val="20"/>
                <w:szCs w:val="20"/>
              </w:rPr>
            </w:pPr>
            <w:r>
              <w:rPr>
                <w:sz w:val="20"/>
                <w:szCs w:val="20"/>
              </w:rPr>
              <w:t>Complex reasoning, dynamic adaptation, self-correction.7</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576" w:type="dxa"/>
              <w:left w:w="-576" w:type="dxa"/>
              <w:bottom w:w="-576" w:type="dxa"/>
              <w:right w:w="-576" w:type="dxa"/>
            </w:tcMar>
          </w:tcPr>
          <w:p w14:paraId="110470D6" w14:textId="77777777" w:rsidR="00576BF7" w:rsidRDefault="00000000">
            <w:pPr>
              <w:widowControl w:val="0"/>
              <w:spacing w:before="120" w:after="120" w:line="275" w:lineRule="auto"/>
              <w:jc w:val="center"/>
              <w:rPr>
                <w:sz w:val="20"/>
                <w:szCs w:val="20"/>
              </w:rPr>
            </w:pPr>
            <w:r>
              <w:rPr>
                <w:sz w:val="20"/>
                <w:szCs w:val="20"/>
              </w:rPr>
              <w:t>Agentic Retrieval (Azure) , Multi-hop Reasoning.</w:t>
            </w:r>
          </w:p>
        </w:tc>
      </w:tr>
    </w:tbl>
    <w:p w14:paraId="569CAAA8" w14:textId="77777777" w:rsidR="00576BF7" w:rsidRDefault="00576BF7">
      <w:pPr>
        <w:widowControl w:val="0"/>
        <w:spacing w:after="240" w:line="275" w:lineRule="auto"/>
        <w:ind w:firstLine="720"/>
        <w:rPr>
          <w:sz w:val="20"/>
          <w:szCs w:val="20"/>
        </w:rPr>
      </w:pPr>
    </w:p>
    <w:p w14:paraId="534BCE6A" w14:textId="77777777" w:rsidR="00576BF7" w:rsidRDefault="00000000">
      <w:pPr>
        <w:widowControl w:val="0"/>
        <w:spacing w:after="240" w:line="275" w:lineRule="auto"/>
        <w:ind w:firstLine="720"/>
        <w:jc w:val="center"/>
        <w:rPr>
          <w:sz w:val="20"/>
          <w:szCs w:val="20"/>
        </w:rPr>
      </w:pPr>
      <w:r>
        <w:rPr>
          <w:noProof/>
          <w:sz w:val="20"/>
          <w:szCs w:val="20"/>
        </w:rPr>
        <w:drawing>
          <wp:inline distT="114300" distB="114300" distL="114300" distR="114300" wp14:anchorId="2279BF10" wp14:editId="33A397CA">
            <wp:extent cx="5138738" cy="261249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5236" t="22596" r="5073" b="8819"/>
                    <a:stretch>
                      <a:fillRect/>
                    </a:stretch>
                  </pic:blipFill>
                  <pic:spPr>
                    <a:xfrm>
                      <a:off x="0" y="0"/>
                      <a:ext cx="5138738" cy="2612494"/>
                    </a:xfrm>
                    <a:prstGeom prst="rect">
                      <a:avLst/>
                    </a:prstGeom>
                    <a:ln/>
                  </pic:spPr>
                </pic:pic>
              </a:graphicData>
            </a:graphic>
          </wp:inline>
        </w:drawing>
      </w:r>
    </w:p>
    <w:p w14:paraId="1E3A9B1E" w14:textId="77777777" w:rsidR="00576BF7" w:rsidRDefault="00576BF7">
      <w:pPr>
        <w:widowControl w:val="0"/>
        <w:spacing w:after="240" w:line="275" w:lineRule="auto"/>
        <w:ind w:firstLine="720"/>
        <w:jc w:val="center"/>
        <w:rPr>
          <w:sz w:val="20"/>
          <w:szCs w:val="20"/>
        </w:rPr>
      </w:pPr>
    </w:p>
    <w:p w14:paraId="495D82DF" w14:textId="77777777" w:rsidR="00576BF7" w:rsidRDefault="00000000">
      <w:pPr>
        <w:pStyle w:val="Heading2"/>
        <w:keepNext w:val="0"/>
        <w:widowControl w:val="0"/>
        <w:spacing w:before="0" w:after="120" w:line="275" w:lineRule="auto"/>
        <w:ind w:left="0"/>
        <w:jc w:val="center"/>
      </w:pPr>
      <w:r>
        <w:rPr>
          <w:i w:val="0"/>
          <w:iCs w:val="0"/>
          <w:smallCaps/>
        </w:rPr>
        <w:t>IV. Core Component Advancements: Retrieval and Knowledge Base Infrastructure</w:t>
      </w:r>
    </w:p>
    <w:p w14:paraId="23728EF6" w14:textId="77777777" w:rsidR="00576BF7" w:rsidRDefault="00000000">
      <w:pPr>
        <w:pStyle w:val="Heading3"/>
        <w:keepNext w:val="0"/>
        <w:widowControl w:val="0"/>
        <w:spacing w:after="120" w:line="275" w:lineRule="auto"/>
        <w:ind w:left="0"/>
        <w:rPr>
          <w:b/>
          <w:bCs/>
        </w:rPr>
      </w:pPr>
      <w:r>
        <w:rPr>
          <w:b/>
          <w:bCs/>
          <w:i w:val="0"/>
          <w:iCs w:val="0"/>
        </w:rPr>
        <w:t>4.1. Hybrid Retrieval and Knowledge Base Optimization</w:t>
      </w:r>
    </w:p>
    <w:p w14:paraId="7CE3470F" w14:textId="77777777" w:rsidR="00576BF7" w:rsidRDefault="00000000">
      <w:pPr>
        <w:widowControl w:val="0"/>
        <w:spacing w:after="240" w:line="275" w:lineRule="auto"/>
        <w:rPr>
          <w:sz w:val="20"/>
          <w:szCs w:val="20"/>
        </w:rPr>
      </w:pPr>
      <w:r>
        <w:rPr>
          <w:sz w:val="20"/>
          <w:szCs w:val="20"/>
        </w:rPr>
        <w:t>The mandate for retrieval precision in enterprise RAG systems has led to the widespread adoption of hybrid search methods. Hybrid retrieval combines dense (vector similarity) and sparse (lexical/keyword) search to capture both the semantic intent of a query and the exact token matches. Industry analysis indicates that hybrid approaches can achieve a 15–20% improvement in retrieval accuracy compared to reliance on single-method retrieval alone.4 The standard technique for efficiently merging and scoring results from both sparse and dense searches is Reciprocal Rank Fusion (RRF)[14].</w:t>
      </w:r>
    </w:p>
    <w:p w14:paraId="362A0688" w14:textId="77777777" w:rsidR="00576BF7" w:rsidRDefault="00000000">
      <w:pPr>
        <w:widowControl w:val="0"/>
        <w:spacing w:after="240" w:line="275" w:lineRule="auto"/>
        <w:rPr>
          <w:sz w:val="20"/>
          <w:szCs w:val="20"/>
        </w:rPr>
      </w:pPr>
      <w:r>
        <w:rPr>
          <w:sz w:val="20"/>
          <w:szCs w:val="20"/>
        </w:rPr>
        <w:t>Architecturally, achieving high precision in hybrid search often requires specialized infrastructure. For systems that need fine-grained, controlled keyword search alongside high-performance vector capabilities, integrating vector databases built on top of Lucene is recommended. These solutions leverage Lucene's robustness for multilingual keyword search and customizability for hybrid search use cases.</w:t>
      </w:r>
    </w:p>
    <w:p w14:paraId="05496175" w14:textId="77777777" w:rsidR="00576BF7" w:rsidRDefault="00000000">
      <w:pPr>
        <w:pStyle w:val="Heading3"/>
        <w:keepNext w:val="0"/>
        <w:widowControl w:val="0"/>
        <w:spacing w:after="120" w:line="275" w:lineRule="auto"/>
        <w:ind w:left="0"/>
        <w:rPr>
          <w:b/>
          <w:bCs/>
        </w:rPr>
      </w:pPr>
      <w:r>
        <w:rPr>
          <w:b/>
          <w:bCs/>
          <w:i w:val="0"/>
          <w:iCs w:val="0"/>
        </w:rPr>
        <w:lastRenderedPageBreak/>
        <w:t>4.2. Vector Database Selection and Deployment Flexibility</w:t>
      </w:r>
    </w:p>
    <w:p w14:paraId="6B2C7502" w14:textId="77777777" w:rsidR="00576BF7" w:rsidRDefault="00000000">
      <w:pPr>
        <w:widowControl w:val="0"/>
        <w:spacing w:after="240" w:line="275" w:lineRule="auto"/>
        <w:rPr>
          <w:sz w:val="20"/>
          <w:szCs w:val="20"/>
        </w:rPr>
      </w:pPr>
      <w:r>
        <w:rPr>
          <w:sz w:val="20"/>
          <w:szCs w:val="20"/>
        </w:rPr>
        <w:t>The choice of the underlying vector database dictates system scalability, deployment flexibility, and feature richness. For enterprises, deployment flexibility is crucial, often requiring adherence to strict data residency and compliance rules. A comparative review shows that while some providers enforce a SaaS-only model (e.g., Pinecone ), others support a distributed architecture optimized for horizontal scaling, offering local, Kubernetes on-premises, Cloud SaaS, and Bring Your Own Cloud (BYOC) deployment options.</w:t>
      </w:r>
    </w:p>
    <w:p w14:paraId="2391ADB6" w14:textId="77777777" w:rsidR="00576BF7" w:rsidRDefault="00000000">
      <w:pPr>
        <w:widowControl w:val="0"/>
        <w:spacing w:after="240" w:line="275" w:lineRule="auto"/>
        <w:rPr>
          <w:sz w:val="20"/>
          <w:szCs w:val="20"/>
        </w:rPr>
      </w:pPr>
      <w:r>
        <w:rPr>
          <w:sz w:val="20"/>
          <w:szCs w:val="20"/>
        </w:rPr>
        <w:t>Furthermore, certain distributed vector databases support a wider range of features necessary for complex industrial knowledge bases, including complex scalar fields (as opposed to simple key-value pairs), arrays, JSON data types, and the ability to store multiple vector fields (sparse and dense) within a single collection, enhancing data retrieval capabilities.</w:t>
      </w:r>
    </w:p>
    <w:p w14:paraId="26C1ECD2" w14:textId="77777777" w:rsidR="00576BF7" w:rsidRDefault="00000000">
      <w:pPr>
        <w:pStyle w:val="Heading3"/>
        <w:keepNext w:val="0"/>
        <w:widowControl w:val="0"/>
        <w:spacing w:after="120" w:line="275" w:lineRule="auto"/>
        <w:ind w:left="0"/>
      </w:pPr>
      <w:r>
        <w:rPr>
          <w:b/>
          <w:bCs/>
          <w:i w:val="0"/>
          <w:iCs w:val="0"/>
        </w:rPr>
        <w:t>4.3. Advanced Indexing and Document Understanding</w:t>
      </w:r>
    </w:p>
    <w:p w14:paraId="78A6F5A0" w14:textId="77777777" w:rsidR="00576BF7" w:rsidRDefault="00000000">
      <w:pPr>
        <w:widowControl w:val="0"/>
        <w:spacing w:after="240" w:line="275" w:lineRule="auto"/>
        <w:rPr>
          <w:sz w:val="20"/>
          <w:szCs w:val="20"/>
        </w:rPr>
      </w:pPr>
      <w:r>
        <w:rPr>
          <w:sz w:val="20"/>
          <w:szCs w:val="20"/>
        </w:rPr>
        <w:t xml:space="preserve">Real-world proprietary data is often nested within complex hierarchies, directory structures, and varied file formats[7]. RAG systems must integrate robust parsing capabilities to extract not just text, but also the structural metadata and semantic relationships inherent in the documents[7]. Advanced tools, such </w:t>
      </w:r>
      <w:proofErr w:type="spellStart"/>
      <w:r>
        <w:rPr>
          <w:sz w:val="20"/>
          <w:szCs w:val="20"/>
        </w:rPr>
        <w:t>such</w:t>
      </w:r>
      <w:proofErr w:type="spellEnd"/>
      <w:r>
        <w:rPr>
          <w:sz w:val="20"/>
          <w:szCs w:val="20"/>
        </w:rPr>
        <w:t xml:space="preserve"> as IBM’s </w:t>
      </w:r>
      <w:proofErr w:type="spellStart"/>
      <w:r>
        <w:rPr>
          <w:sz w:val="20"/>
          <w:szCs w:val="20"/>
        </w:rPr>
        <w:t>Docling</w:t>
      </w:r>
      <w:proofErr w:type="spellEnd"/>
      <w:r>
        <w:rPr>
          <w:sz w:val="20"/>
          <w:szCs w:val="20"/>
        </w:rPr>
        <w:t>, are leveraged to facilitate fine-grained document segmentation, ensuring that retrieved chunks retain critical context and structural integrity, thereby moving the RAG pipeline beyond simple text extraction and closer to actionable knowledge workflows[7]. Furthermore, the selection of the embedding model, the chunking strategy, and the configuration of the search index are increasingly viewed as foundational engineering decisions that require a rigorous, scientific approach to maximize accuracy[19].</w:t>
      </w:r>
    </w:p>
    <w:p w14:paraId="3829E3F3" w14:textId="77777777" w:rsidR="00576BF7" w:rsidRDefault="00000000">
      <w:pPr>
        <w:pStyle w:val="Heading2"/>
        <w:keepNext w:val="0"/>
        <w:widowControl w:val="0"/>
        <w:spacing w:before="0" w:after="120" w:line="275" w:lineRule="auto"/>
        <w:ind w:left="0"/>
        <w:jc w:val="center"/>
      </w:pPr>
      <w:r>
        <w:rPr>
          <w:i w:val="0"/>
          <w:iCs w:val="0"/>
          <w:smallCaps/>
        </w:rPr>
        <w:t>V. Comparative Analysis of Major Enterprise Cloud RAG Platforms</w:t>
      </w:r>
    </w:p>
    <w:p w14:paraId="3A1ABF9D" w14:textId="77777777" w:rsidR="00576BF7" w:rsidRDefault="00000000">
      <w:pPr>
        <w:widowControl w:val="0"/>
        <w:spacing w:after="240" w:line="275" w:lineRule="auto"/>
        <w:rPr>
          <w:sz w:val="20"/>
          <w:szCs w:val="20"/>
        </w:rPr>
      </w:pPr>
      <w:r>
        <w:rPr>
          <w:sz w:val="20"/>
          <w:szCs w:val="20"/>
        </w:rPr>
        <w:t xml:space="preserve">Cloud deployment has become the standard for scaling AI workloads, with an impressive 75% of enterprise AI workloads deployed in the cloud environment by 2025[6]. As foundational LLMs become commoditized, competition among major vendors (AWS, Azure, and GCP) centers on their integrated platforms for </w:t>
      </w:r>
      <w:proofErr w:type="spellStart"/>
      <w:r>
        <w:rPr>
          <w:sz w:val="20"/>
          <w:szCs w:val="20"/>
        </w:rPr>
        <w:t>MLOps</w:t>
      </w:r>
      <w:proofErr w:type="spellEnd"/>
      <w:r>
        <w:rPr>
          <w:sz w:val="20"/>
          <w:szCs w:val="20"/>
        </w:rPr>
        <w:t>, governance, and proprietary search infrastructure.</w:t>
      </w:r>
    </w:p>
    <w:p w14:paraId="2F35B7D0" w14:textId="77777777" w:rsidR="00576BF7" w:rsidRDefault="00000000">
      <w:pPr>
        <w:pStyle w:val="Heading3"/>
        <w:keepNext w:val="0"/>
        <w:widowControl w:val="0"/>
        <w:spacing w:after="120" w:line="275" w:lineRule="auto"/>
        <w:ind w:left="0"/>
        <w:rPr>
          <w:b/>
          <w:bCs/>
        </w:rPr>
      </w:pPr>
      <w:r>
        <w:rPr>
          <w:b/>
          <w:bCs/>
          <w:i w:val="0"/>
          <w:iCs w:val="0"/>
        </w:rPr>
        <w:t>5.1. Microsoft Azure AI: The Agentic Retrieval Standard</w:t>
      </w:r>
    </w:p>
    <w:p w14:paraId="3AD96EDE" w14:textId="77777777" w:rsidR="00576BF7" w:rsidRDefault="00000000">
      <w:pPr>
        <w:widowControl w:val="0"/>
        <w:spacing w:after="240" w:line="275" w:lineRule="auto"/>
        <w:rPr>
          <w:sz w:val="20"/>
          <w:szCs w:val="20"/>
        </w:rPr>
      </w:pPr>
      <w:r>
        <w:rPr>
          <w:sz w:val="20"/>
          <w:szCs w:val="20"/>
        </w:rPr>
        <w:t xml:space="preserve">Microsoft Azure provides RAG solutions centered around Azure AI Search for robust indexing and query capabilities, and orchestration tools such as the Microsoft Agent Framework, Semantic Kernel, or </w:t>
      </w:r>
      <w:proofErr w:type="spellStart"/>
      <w:r>
        <w:rPr>
          <w:sz w:val="20"/>
          <w:szCs w:val="20"/>
        </w:rPr>
        <w:t>LangChain</w:t>
      </w:r>
      <w:proofErr w:type="spellEnd"/>
      <w:r>
        <w:rPr>
          <w:sz w:val="20"/>
          <w:szCs w:val="20"/>
        </w:rPr>
        <w:t>.</w:t>
      </w:r>
    </w:p>
    <w:p w14:paraId="427F1F5A" w14:textId="77777777" w:rsidR="00576BF7" w:rsidRDefault="00000000">
      <w:pPr>
        <w:widowControl w:val="0"/>
        <w:spacing w:after="240" w:line="275" w:lineRule="auto"/>
        <w:rPr>
          <w:sz w:val="20"/>
          <w:szCs w:val="20"/>
        </w:rPr>
      </w:pPr>
      <w:r>
        <w:rPr>
          <w:sz w:val="20"/>
          <w:szCs w:val="20"/>
        </w:rPr>
        <w:t xml:space="preserve">Azure’s flagship innovation is Agentic Retrieval, a specialized, multi-query pipeline now integrated into Azure AI Search. This approach uses LLMs to perform context-aware query planning, intelligently breaking down complex user inputs into focused subqueries that execute in parallel. The system then combines these results, applies built-in semantic re-ranking, and provides a structured response optimized for downstream consumption by chat completion models which includes grounding data, citations, and execution metadata. Azure recommends starting new RAG implementations with this agentic retrieval approach. Furthermore, Azure provides high-level architectures that map features to ethical and compliance-related hurdles, enabling the deployment of responsible </w:t>
      </w:r>
      <w:proofErr w:type="spellStart"/>
      <w:r>
        <w:rPr>
          <w:sz w:val="20"/>
          <w:szCs w:val="20"/>
        </w:rPr>
        <w:t>LLMOps</w:t>
      </w:r>
      <w:proofErr w:type="spellEnd"/>
      <w:r>
        <w:rPr>
          <w:sz w:val="20"/>
          <w:szCs w:val="20"/>
        </w:rPr>
        <w:t xml:space="preserve"> RAG solutions.</w:t>
      </w:r>
    </w:p>
    <w:p w14:paraId="21E29E55" w14:textId="77777777" w:rsidR="00576BF7" w:rsidRDefault="00000000">
      <w:pPr>
        <w:pStyle w:val="Heading3"/>
        <w:keepNext w:val="0"/>
        <w:widowControl w:val="0"/>
        <w:spacing w:after="120" w:line="275" w:lineRule="auto"/>
        <w:ind w:left="0"/>
        <w:rPr>
          <w:b/>
          <w:bCs/>
        </w:rPr>
      </w:pPr>
      <w:r>
        <w:rPr>
          <w:b/>
          <w:bCs/>
          <w:i w:val="0"/>
          <w:iCs w:val="0"/>
        </w:rPr>
        <w:t>5.2. Google Cloud Platform (GCP): Centralized Governance and Orchestration</w:t>
      </w:r>
    </w:p>
    <w:p w14:paraId="0DE0E62B" w14:textId="77777777" w:rsidR="00576BF7" w:rsidRDefault="00000000">
      <w:pPr>
        <w:widowControl w:val="0"/>
        <w:spacing w:after="240" w:line="275" w:lineRule="auto"/>
        <w:rPr>
          <w:sz w:val="20"/>
          <w:szCs w:val="20"/>
        </w:rPr>
      </w:pPr>
      <w:r>
        <w:rPr>
          <w:sz w:val="20"/>
          <w:szCs w:val="20"/>
        </w:rPr>
        <w:t xml:space="preserve">GCP leverages Vertex AI as its comprehensive ML platform, supporting the deployment of customized LLMs, including Gemini models, and integrating popular frameworks like </w:t>
      </w:r>
      <w:proofErr w:type="spellStart"/>
      <w:r>
        <w:rPr>
          <w:sz w:val="20"/>
          <w:szCs w:val="20"/>
        </w:rPr>
        <w:t>Langchain</w:t>
      </w:r>
      <w:proofErr w:type="spellEnd"/>
      <w:r>
        <w:rPr>
          <w:sz w:val="20"/>
          <w:szCs w:val="20"/>
        </w:rPr>
        <w:t>.</w:t>
      </w:r>
    </w:p>
    <w:p w14:paraId="07EAB772" w14:textId="77777777" w:rsidR="00576BF7" w:rsidRDefault="00000000">
      <w:pPr>
        <w:widowControl w:val="0"/>
        <w:spacing w:after="240" w:line="275" w:lineRule="auto"/>
        <w:rPr>
          <w:sz w:val="20"/>
          <w:szCs w:val="20"/>
        </w:rPr>
      </w:pPr>
      <w:r>
        <w:rPr>
          <w:sz w:val="20"/>
          <w:szCs w:val="20"/>
        </w:rPr>
        <w:t xml:space="preserve">GCP’s strategic focus includes Google </w:t>
      </w:r>
      <w:proofErr w:type="spellStart"/>
      <w:r>
        <w:rPr>
          <w:sz w:val="20"/>
          <w:szCs w:val="20"/>
        </w:rPr>
        <w:t>Agentspace</w:t>
      </w:r>
      <w:proofErr w:type="spellEnd"/>
      <w:r>
        <w:rPr>
          <w:sz w:val="20"/>
          <w:szCs w:val="20"/>
        </w:rPr>
        <w:t xml:space="preserve">, a managed platform designed to manage the increasing sprawl of enterprise AI agents. </w:t>
      </w:r>
      <w:proofErr w:type="spellStart"/>
      <w:r>
        <w:rPr>
          <w:sz w:val="20"/>
          <w:szCs w:val="20"/>
        </w:rPr>
        <w:t>Agentspace</w:t>
      </w:r>
      <w:proofErr w:type="spellEnd"/>
      <w:r>
        <w:rPr>
          <w:sz w:val="20"/>
          <w:szCs w:val="20"/>
        </w:rPr>
        <w:t xml:space="preserve"> functions as a centralized registry and interaction hub, facilitating seamless discovery, governance, and controlled use of AI agents by applications across the organization. Google Cloud emphasizes the strategic importance of scaling Generative AI via platforms, noting that simply accessing models is insufficient. Enterprises must establish rigorous evaluation frameworks to measure performance and enable generative AI value beyond basic task metrics. Deployment guidance is provided for cloud administrators and ML engineers utilizing </w:t>
      </w:r>
      <w:proofErr w:type="spellStart"/>
      <w:r>
        <w:rPr>
          <w:sz w:val="20"/>
          <w:szCs w:val="20"/>
        </w:rPr>
        <w:t>Langchain</w:t>
      </w:r>
      <w:proofErr w:type="spellEnd"/>
      <w:r>
        <w:rPr>
          <w:sz w:val="20"/>
          <w:szCs w:val="20"/>
        </w:rPr>
        <w:t>, Vertex AI, and managed Kubernetes Engine (GKE).</w:t>
      </w:r>
    </w:p>
    <w:p w14:paraId="528C5041" w14:textId="77777777" w:rsidR="00576BF7" w:rsidRDefault="00000000">
      <w:pPr>
        <w:pStyle w:val="Heading3"/>
        <w:keepNext w:val="0"/>
        <w:widowControl w:val="0"/>
        <w:spacing w:after="120" w:line="275" w:lineRule="auto"/>
        <w:ind w:left="0"/>
        <w:rPr>
          <w:b/>
          <w:bCs/>
        </w:rPr>
      </w:pPr>
      <w:r>
        <w:rPr>
          <w:b/>
          <w:bCs/>
          <w:i w:val="0"/>
          <w:iCs w:val="0"/>
        </w:rPr>
        <w:t>5.3. Amazon Web Services (AWS): Bedrock and Public Sector Blueprints</w:t>
      </w:r>
    </w:p>
    <w:p w14:paraId="6BEF9E29" w14:textId="77777777" w:rsidR="00576BF7" w:rsidRDefault="00000000">
      <w:pPr>
        <w:widowControl w:val="0"/>
        <w:spacing w:after="240" w:line="275" w:lineRule="auto"/>
        <w:rPr>
          <w:sz w:val="20"/>
          <w:szCs w:val="20"/>
        </w:rPr>
      </w:pPr>
      <w:r>
        <w:rPr>
          <w:sz w:val="20"/>
          <w:szCs w:val="20"/>
        </w:rPr>
        <w:t xml:space="preserve">AWS RAG solutions typically utilize Amazon Bedrock , which provides access to a range of foundational models (including third-party providers), alongside Amazon SageMaker for model deployment and </w:t>
      </w:r>
      <w:proofErr w:type="spellStart"/>
      <w:r>
        <w:rPr>
          <w:sz w:val="20"/>
          <w:szCs w:val="20"/>
        </w:rPr>
        <w:t>MLOps</w:t>
      </w:r>
      <w:proofErr w:type="spellEnd"/>
      <w:r>
        <w:rPr>
          <w:sz w:val="20"/>
          <w:szCs w:val="20"/>
        </w:rPr>
        <w:t xml:space="preserve"> management.</w:t>
      </w:r>
    </w:p>
    <w:p w14:paraId="62936ED9" w14:textId="77777777" w:rsidR="00576BF7" w:rsidRDefault="00000000">
      <w:pPr>
        <w:widowControl w:val="0"/>
        <w:spacing w:after="240" w:line="275" w:lineRule="auto"/>
        <w:rPr>
          <w:rFonts w:ascii="Arial" w:eastAsia="Arial" w:hAnsi="Arial" w:cs="Arial"/>
          <w:color w:val="1B1C1D"/>
          <w:sz w:val="20"/>
          <w:szCs w:val="20"/>
        </w:rPr>
      </w:pPr>
      <w:r>
        <w:rPr>
          <w:sz w:val="20"/>
          <w:szCs w:val="20"/>
        </w:rPr>
        <w:lastRenderedPageBreak/>
        <w:t>AWS provides detailed, high-level architectural guidance tailored to specific, high-value enterprise and public sector use cases. For example, blueprints exist for implementing RAG solutions that transform proposal development processes, allowing organizations to leverage their collective knowledge to accelerate responses to Requests for Proposals (RFPs) from days to hours. The AWS approach places a strong emphasis on security and compliance, ensuring that RAG components are deeply integrated with AWS Identity and Access Management (IAM) for robust access control and auditing mechanisms.</w:t>
      </w:r>
    </w:p>
    <w:p w14:paraId="4D1060A9" w14:textId="77777777" w:rsidR="00576BF7" w:rsidRDefault="00000000">
      <w:pPr>
        <w:widowControl w:val="0"/>
        <w:spacing w:after="240" w:line="276" w:lineRule="auto"/>
        <w:rPr>
          <w:b/>
          <w:bCs/>
          <w:color w:val="1B1C1D"/>
          <w:sz w:val="20"/>
          <w:szCs w:val="20"/>
        </w:rPr>
      </w:pPr>
      <w:r>
        <w:rPr>
          <w:b/>
          <w:bCs/>
          <w:color w:val="1B1C1D"/>
          <w:sz w:val="20"/>
          <w:szCs w:val="20"/>
        </w:rPr>
        <w:t>Table 2.  Detailed comparative table summarizing the key features, architectural focus, and deployment characteristics of the major cloud platforms, based on current offerings (2023–2025).</w:t>
      </w:r>
    </w:p>
    <w:tbl>
      <w:tblPr>
        <w:tblStyle w:val="a0"/>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05"/>
        <w:gridCol w:w="2895"/>
        <w:gridCol w:w="2700"/>
        <w:gridCol w:w="2700"/>
      </w:tblGrid>
      <w:tr w:rsidR="00576BF7" w14:paraId="2C7A7946" w14:textId="77777777">
        <w:tc>
          <w:tcPr>
            <w:tcW w:w="250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08590778" w14:textId="77777777" w:rsidR="00576BF7" w:rsidRDefault="00000000">
            <w:pPr>
              <w:widowControl w:val="0"/>
              <w:spacing w:line="276" w:lineRule="auto"/>
              <w:jc w:val="center"/>
              <w:rPr>
                <w:rFonts w:ascii="Arial" w:eastAsia="Arial" w:hAnsi="Arial" w:cs="Arial"/>
                <w:b/>
                <w:bCs/>
                <w:color w:val="1B1C1D"/>
                <w:sz w:val="18"/>
                <w:szCs w:val="18"/>
              </w:rPr>
            </w:pPr>
            <w:r>
              <w:rPr>
                <w:rFonts w:ascii="Arial" w:eastAsia="Arial" w:hAnsi="Arial" w:cs="Arial"/>
                <w:b/>
                <w:bCs/>
                <w:color w:val="1B1C1D"/>
                <w:sz w:val="18"/>
                <w:szCs w:val="18"/>
              </w:rPr>
              <w:t>Feature</w:t>
            </w:r>
          </w:p>
        </w:tc>
        <w:tc>
          <w:tcPr>
            <w:tcW w:w="289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5A80326D" w14:textId="77777777" w:rsidR="00576BF7" w:rsidRDefault="00000000">
            <w:pPr>
              <w:widowControl w:val="0"/>
              <w:spacing w:line="276" w:lineRule="auto"/>
              <w:jc w:val="center"/>
              <w:rPr>
                <w:rFonts w:ascii="Arial" w:eastAsia="Arial" w:hAnsi="Arial" w:cs="Arial"/>
                <w:b/>
                <w:bCs/>
                <w:color w:val="1B1C1D"/>
                <w:sz w:val="18"/>
                <w:szCs w:val="18"/>
              </w:rPr>
            </w:pPr>
            <w:r>
              <w:rPr>
                <w:rFonts w:ascii="Arial" w:eastAsia="Arial" w:hAnsi="Arial" w:cs="Arial"/>
                <w:b/>
                <w:bCs/>
                <w:color w:val="1B1C1D"/>
                <w:sz w:val="18"/>
                <w:szCs w:val="18"/>
              </w:rPr>
              <w:t>Microsoft Azure AI</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031B6368" w14:textId="77777777" w:rsidR="00576BF7" w:rsidRDefault="00000000">
            <w:pPr>
              <w:widowControl w:val="0"/>
              <w:spacing w:line="276" w:lineRule="auto"/>
              <w:jc w:val="center"/>
              <w:rPr>
                <w:rFonts w:ascii="Arial" w:eastAsia="Arial" w:hAnsi="Arial" w:cs="Arial"/>
                <w:color w:val="1B1C1D"/>
                <w:sz w:val="18"/>
                <w:szCs w:val="18"/>
              </w:rPr>
            </w:pPr>
            <w:r>
              <w:rPr>
                <w:rFonts w:ascii="Arial" w:eastAsia="Arial" w:hAnsi="Arial" w:cs="Arial"/>
                <w:b/>
                <w:bCs/>
                <w:color w:val="1B1C1D"/>
                <w:sz w:val="18"/>
                <w:szCs w:val="18"/>
              </w:rPr>
              <w:t xml:space="preserve">Google Cloud Platform </w:t>
            </w:r>
            <w:r>
              <w:rPr>
                <w:rFonts w:ascii="Arial" w:eastAsia="Arial" w:hAnsi="Arial" w:cs="Arial"/>
                <w:color w:val="1B1C1D"/>
                <w:sz w:val="18"/>
                <w:szCs w:val="18"/>
              </w:rPr>
              <w:t>(</w:t>
            </w:r>
            <w:r>
              <w:rPr>
                <w:rFonts w:ascii="Arial" w:eastAsia="Arial" w:hAnsi="Arial" w:cs="Arial"/>
                <w:b/>
                <w:bCs/>
                <w:color w:val="1B1C1D"/>
                <w:sz w:val="18"/>
                <w:szCs w:val="18"/>
              </w:rPr>
              <w:t>GCP</w:t>
            </w:r>
            <w:r>
              <w:rPr>
                <w:rFonts w:ascii="Arial" w:eastAsia="Arial" w:hAnsi="Arial" w:cs="Arial"/>
                <w:color w:val="1B1C1D"/>
                <w:sz w:val="18"/>
                <w:szCs w:val="18"/>
              </w:rPr>
              <w:t>)</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4CC13E29" w14:textId="77777777" w:rsidR="00576BF7" w:rsidRDefault="00000000">
            <w:pPr>
              <w:widowControl w:val="0"/>
              <w:spacing w:line="276" w:lineRule="auto"/>
              <w:jc w:val="center"/>
              <w:rPr>
                <w:rFonts w:ascii="Arial" w:eastAsia="Arial" w:hAnsi="Arial" w:cs="Arial"/>
                <w:color w:val="1B1C1D"/>
                <w:sz w:val="18"/>
                <w:szCs w:val="18"/>
              </w:rPr>
            </w:pPr>
            <w:r>
              <w:rPr>
                <w:rFonts w:ascii="Arial" w:eastAsia="Arial" w:hAnsi="Arial" w:cs="Arial"/>
                <w:b/>
                <w:bCs/>
                <w:color w:val="1B1C1D"/>
                <w:sz w:val="18"/>
                <w:szCs w:val="18"/>
              </w:rPr>
              <w:t xml:space="preserve">Amazon Web Services </w:t>
            </w:r>
            <w:r>
              <w:rPr>
                <w:rFonts w:ascii="Arial" w:eastAsia="Arial" w:hAnsi="Arial" w:cs="Arial"/>
                <w:color w:val="1B1C1D"/>
                <w:sz w:val="18"/>
                <w:szCs w:val="18"/>
              </w:rPr>
              <w:t>(</w:t>
            </w:r>
            <w:r>
              <w:rPr>
                <w:rFonts w:ascii="Arial" w:eastAsia="Arial" w:hAnsi="Arial" w:cs="Arial"/>
                <w:b/>
                <w:bCs/>
                <w:color w:val="1B1C1D"/>
                <w:sz w:val="18"/>
                <w:szCs w:val="18"/>
              </w:rPr>
              <w:t>AWS</w:t>
            </w:r>
            <w:r>
              <w:rPr>
                <w:rFonts w:ascii="Arial" w:eastAsia="Arial" w:hAnsi="Arial" w:cs="Arial"/>
                <w:color w:val="1B1C1D"/>
                <w:sz w:val="18"/>
                <w:szCs w:val="18"/>
              </w:rPr>
              <w:t>)</w:t>
            </w:r>
          </w:p>
        </w:tc>
      </w:tr>
      <w:tr w:rsidR="00576BF7" w14:paraId="14159A8B" w14:textId="77777777">
        <w:trPr>
          <w:trHeight w:val="558"/>
        </w:trPr>
        <w:tc>
          <w:tcPr>
            <w:tcW w:w="250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718B3CC1" w14:textId="77777777" w:rsidR="00576BF7" w:rsidRDefault="00000000">
            <w:pPr>
              <w:widowControl w:val="0"/>
              <w:spacing w:line="276" w:lineRule="auto"/>
              <w:jc w:val="center"/>
              <w:rPr>
                <w:color w:val="1B1C1D"/>
                <w:sz w:val="20"/>
                <w:szCs w:val="20"/>
              </w:rPr>
            </w:pPr>
            <w:r>
              <w:rPr>
                <w:color w:val="1B1C1D"/>
                <w:sz w:val="20"/>
                <w:szCs w:val="20"/>
              </w:rPr>
              <w:t>Primary RAG/Search Service</w:t>
            </w:r>
          </w:p>
        </w:tc>
        <w:tc>
          <w:tcPr>
            <w:tcW w:w="289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05A6BF83" w14:textId="77777777" w:rsidR="00576BF7" w:rsidRDefault="00000000">
            <w:pPr>
              <w:widowControl w:val="0"/>
              <w:spacing w:line="276" w:lineRule="auto"/>
              <w:jc w:val="center"/>
              <w:rPr>
                <w:color w:val="1B1C1D"/>
                <w:sz w:val="20"/>
                <w:szCs w:val="20"/>
              </w:rPr>
            </w:pPr>
            <w:r>
              <w:rPr>
                <w:color w:val="1B1C1D"/>
                <w:sz w:val="20"/>
                <w:szCs w:val="20"/>
              </w:rPr>
              <w:t>Azure AI Search</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690DC0C1" w14:textId="77777777" w:rsidR="00576BF7" w:rsidRDefault="00000000">
            <w:pPr>
              <w:widowControl w:val="0"/>
              <w:spacing w:line="276" w:lineRule="auto"/>
              <w:jc w:val="center"/>
              <w:rPr>
                <w:color w:val="1B1C1D"/>
                <w:sz w:val="20"/>
                <w:szCs w:val="20"/>
              </w:rPr>
            </w:pPr>
            <w:r>
              <w:rPr>
                <w:color w:val="1B1C1D"/>
                <w:sz w:val="20"/>
                <w:szCs w:val="20"/>
              </w:rPr>
              <w:t>Vertex AI Search / Matching Engine</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4FA8A6D8" w14:textId="77777777" w:rsidR="00576BF7" w:rsidRDefault="00000000">
            <w:pPr>
              <w:widowControl w:val="0"/>
              <w:spacing w:line="276" w:lineRule="auto"/>
              <w:jc w:val="center"/>
              <w:rPr>
                <w:color w:val="1B1C1D"/>
                <w:sz w:val="20"/>
                <w:szCs w:val="20"/>
              </w:rPr>
            </w:pPr>
            <w:r>
              <w:rPr>
                <w:color w:val="1B1C1D"/>
                <w:sz w:val="20"/>
                <w:szCs w:val="20"/>
              </w:rPr>
              <w:t>Amazon Bedrock Knowledge Bases / Amazon Kendra</w:t>
            </w:r>
          </w:p>
        </w:tc>
      </w:tr>
      <w:tr w:rsidR="00576BF7" w14:paraId="7877E0F4" w14:textId="77777777">
        <w:tc>
          <w:tcPr>
            <w:tcW w:w="250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1BD67375" w14:textId="77777777" w:rsidR="00576BF7" w:rsidRDefault="00000000">
            <w:pPr>
              <w:widowControl w:val="0"/>
              <w:spacing w:line="276" w:lineRule="auto"/>
              <w:jc w:val="center"/>
              <w:rPr>
                <w:color w:val="1B1C1D"/>
                <w:sz w:val="20"/>
                <w:szCs w:val="20"/>
              </w:rPr>
            </w:pPr>
            <w:r>
              <w:rPr>
                <w:color w:val="1B1C1D"/>
                <w:sz w:val="20"/>
                <w:szCs w:val="20"/>
              </w:rPr>
              <w:t>Agentic/Orchestration Feature</w:t>
            </w:r>
          </w:p>
        </w:tc>
        <w:tc>
          <w:tcPr>
            <w:tcW w:w="289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0D180262" w14:textId="77777777" w:rsidR="00576BF7" w:rsidRDefault="00000000">
            <w:pPr>
              <w:widowControl w:val="0"/>
              <w:spacing w:line="276" w:lineRule="auto"/>
              <w:jc w:val="center"/>
              <w:rPr>
                <w:color w:val="1B1C1D"/>
                <w:sz w:val="20"/>
                <w:szCs w:val="20"/>
              </w:rPr>
            </w:pPr>
            <w:r>
              <w:rPr>
                <w:color w:val="1B1C1D"/>
                <w:sz w:val="20"/>
                <w:szCs w:val="20"/>
              </w:rPr>
              <w:t>Agentic Retrieval (Specialized multi-query pipeline for complex queries, context-aware planning and parallel execution) [1]</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6D2029E3" w14:textId="77777777" w:rsidR="00576BF7" w:rsidRDefault="00000000">
            <w:pPr>
              <w:widowControl w:val="0"/>
              <w:spacing w:line="276" w:lineRule="auto"/>
              <w:jc w:val="center"/>
              <w:rPr>
                <w:color w:val="1B1C1D"/>
                <w:sz w:val="20"/>
                <w:szCs w:val="20"/>
              </w:rPr>
            </w:pPr>
            <w:r>
              <w:rPr>
                <w:color w:val="1B1C1D"/>
                <w:sz w:val="20"/>
                <w:szCs w:val="20"/>
              </w:rPr>
              <w:t xml:space="preserve">Google </w:t>
            </w:r>
            <w:proofErr w:type="spellStart"/>
            <w:r>
              <w:rPr>
                <w:color w:val="1B1C1D"/>
                <w:sz w:val="20"/>
                <w:szCs w:val="20"/>
              </w:rPr>
              <w:t>Agentspace</w:t>
            </w:r>
            <w:proofErr w:type="spellEnd"/>
            <w:r>
              <w:rPr>
                <w:color w:val="1B1C1D"/>
                <w:sz w:val="20"/>
                <w:szCs w:val="20"/>
              </w:rPr>
              <w:t xml:space="preserve"> (Central registry and governance hub for agent discover) [1]</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05F3E3D4" w14:textId="77777777" w:rsidR="00576BF7" w:rsidRDefault="00000000">
            <w:pPr>
              <w:widowControl w:val="0"/>
              <w:spacing w:line="276" w:lineRule="auto"/>
              <w:jc w:val="center"/>
              <w:rPr>
                <w:color w:val="1B1C1D"/>
                <w:sz w:val="20"/>
                <w:szCs w:val="20"/>
              </w:rPr>
            </w:pPr>
            <w:r>
              <w:rPr>
                <w:color w:val="1B1C1D"/>
                <w:sz w:val="20"/>
                <w:szCs w:val="20"/>
              </w:rPr>
              <w:t xml:space="preserve">Integrated with Amazon Bedrock (via FM access) and orchestration via AWS Step Functions/SageMaker[3] </w:t>
            </w:r>
          </w:p>
        </w:tc>
      </w:tr>
      <w:tr w:rsidR="00576BF7" w14:paraId="606A80CD" w14:textId="77777777">
        <w:tc>
          <w:tcPr>
            <w:tcW w:w="250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29FDDF89" w14:textId="77777777" w:rsidR="00576BF7" w:rsidRDefault="00000000">
            <w:pPr>
              <w:widowControl w:val="0"/>
              <w:spacing w:line="276" w:lineRule="auto"/>
              <w:jc w:val="center"/>
              <w:rPr>
                <w:color w:val="1B1C1D"/>
                <w:sz w:val="20"/>
                <w:szCs w:val="20"/>
              </w:rPr>
            </w:pPr>
            <w:r>
              <w:rPr>
                <w:color w:val="1B1C1D"/>
                <w:sz w:val="20"/>
                <w:szCs w:val="20"/>
              </w:rPr>
              <w:t>LLM Access Platform</w:t>
            </w:r>
          </w:p>
        </w:tc>
        <w:tc>
          <w:tcPr>
            <w:tcW w:w="289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0B755E05" w14:textId="77777777" w:rsidR="00576BF7" w:rsidRDefault="00000000">
            <w:pPr>
              <w:widowControl w:val="0"/>
              <w:spacing w:line="276" w:lineRule="auto"/>
              <w:jc w:val="center"/>
              <w:rPr>
                <w:color w:val="1B1C1D"/>
                <w:sz w:val="20"/>
                <w:szCs w:val="20"/>
              </w:rPr>
            </w:pPr>
            <w:r>
              <w:rPr>
                <w:color w:val="1B1C1D"/>
                <w:sz w:val="20"/>
                <w:szCs w:val="20"/>
              </w:rPr>
              <w:t>Azure OpenAI Service</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30A491BA" w14:textId="77777777" w:rsidR="00576BF7" w:rsidRDefault="00000000">
            <w:pPr>
              <w:widowControl w:val="0"/>
              <w:spacing w:line="276" w:lineRule="auto"/>
              <w:jc w:val="center"/>
              <w:rPr>
                <w:color w:val="1B1C1D"/>
                <w:sz w:val="20"/>
                <w:szCs w:val="20"/>
              </w:rPr>
            </w:pPr>
            <w:r>
              <w:rPr>
                <w:color w:val="1B1C1D"/>
                <w:sz w:val="20"/>
                <w:szCs w:val="20"/>
              </w:rPr>
              <w:t>Vertex AI (Gemini Models)</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347750FB" w14:textId="77777777" w:rsidR="00576BF7" w:rsidRDefault="00000000">
            <w:pPr>
              <w:widowControl w:val="0"/>
              <w:spacing w:line="276" w:lineRule="auto"/>
              <w:jc w:val="center"/>
              <w:rPr>
                <w:color w:val="1B1C1D"/>
                <w:sz w:val="20"/>
                <w:szCs w:val="20"/>
              </w:rPr>
            </w:pPr>
            <w:r>
              <w:rPr>
                <w:color w:val="1B1C1D"/>
                <w:sz w:val="20"/>
                <w:szCs w:val="20"/>
              </w:rPr>
              <w:t>Amazon Bedrock (Access to various FMs including Anthropic, Meta)[3]</w:t>
            </w:r>
          </w:p>
        </w:tc>
      </w:tr>
      <w:tr w:rsidR="00576BF7" w14:paraId="0A9C8042" w14:textId="77777777">
        <w:tc>
          <w:tcPr>
            <w:tcW w:w="250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70DC2D95" w14:textId="77777777" w:rsidR="00576BF7" w:rsidRDefault="00000000">
            <w:pPr>
              <w:widowControl w:val="0"/>
              <w:spacing w:line="276" w:lineRule="auto"/>
              <w:jc w:val="center"/>
              <w:rPr>
                <w:color w:val="1B1C1D"/>
                <w:sz w:val="20"/>
                <w:szCs w:val="20"/>
              </w:rPr>
            </w:pPr>
            <w:r>
              <w:rPr>
                <w:color w:val="1B1C1D"/>
                <w:sz w:val="20"/>
                <w:szCs w:val="20"/>
              </w:rPr>
              <w:t>Governance/Security Focus</w:t>
            </w:r>
          </w:p>
        </w:tc>
        <w:tc>
          <w:tcPr>
            <w:tcW w:w="289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49CDA9A9" w14:textId="77777777" w:rsidR="00576BF7" w:rsidRDefault="00000000">
            <w:pPr>
              <w:widowControl w:val="0"/>
              <w:spacing w:line="276" w:lineRule="auto"/>
              <w:jc w:val="center"/>
              <w:rPr>
                <w:color w:val="1B1C1D"/>
                <w:sz w:val="20"/>
                <w:szCs w:val="20"/>
              </w:rPr>
            </w:pPr>
            <w:r>
              <w:rPr>
                <w:color w:val="1B1C1D"/>
                <w:sz w:val="20"/>
                <w:szCs w:val="20"/>
              </w:rPr>
              <w:t xml:space="preserve">Responsible </w:t>
            </w:r>
            <w:proofErr w:type="spellStart"/>
            <w:r>
              <w:rPr>
                <w:color w:val="1B1C1D"/>
                <w:sz w:val="20"/>
                <w:szCs w:val="20"/>
              </w:rPr>
              <w:t>LLMOps</w:t>
            </w:r>
            <w:proofErr w:type="spellEnd"/>
            <w:r>
              <w:rPr>
                <w:color w:val="1B1C1D"/>
                <w:sz w:val="20"/>
                <w:szCs w:val="20"/>
              </w:rPr>
              <w:t>, architectural guidance for ethical and compliance hurdles [4]</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71F28E09" w14:textId="77777777" w:rsidR="00576BF7" w:rsidRDefault="00000000">
            <w:pPr>
              <w:widowControl w:val="0"/>
              <w:spacing w:line="276" w:lineRule="auto"/>
              <w:jc w:val="center"/>
              <w:rPr>
                <w:color w:val="1B1C1D"/>
                <w:sz w:val="20"/>
                <w:szCs w:val="20"/>
              </w:rPr>
            </w:pPr>
            <w:r>
              <w:rPr>
                <w:color w:val="1B1C1D"/>
                <w:sz w:val="20"/>
                <w:szCs w:val="20"/>
              </w:rPr>
              <w:t>Centralized Agent Governance (</w:t>
            </w:r>
            <w:proofErr w:type="spellStart"/>
            <w:r>
              <w:rPr>
                <w:color w:val="1B1C1D"/>
                <w:sz w:val="20"/>
                <w:szCs w:val="20"/>
              </w:rPr>
              <w:t>Agentspace</w:t>
            </w:r>
            <w:proofErr w:type="spellEnd"/>
            <w:r>
              <w:rPr>
                <w:color w:val="1B1C1D"/>
                <w:sz w:val="20"/>
                <w:szCs w:val="20"/>
              </w:rPr>
              <w:t>), rigorous Evaluation Frameworks [1]</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013FE0B7" w14:textId="77777777" w:rsidR="00576BF7" w:rsidRDefault="00000000">
            <w:pPr>
              <w:widowControl w:val="0"/>
              <w:spacing w:line="276" w:lineRule="auto"/>
              <w:jc w:val="center"/>
              <w:rPr>
                <w:color w:val="1B1C1D"/>
                <w:sz w:val="20"/>
                <w:szCs w:val="20"/>
              </w:rPr>
            </w:pPr>
            <w:r>
              <w:rPr>
                <w:color w:val="1B1C1D"/>
                <w:sz w:val="20"/>
                <w:szCs w:val="20"/>
              </w:rPr>
              <w:t>Security, Compliance, Deep integration with AWS Identity and Access Management (IAM)[3]</w:t>
            </w:r>
          </w:p>
        </w:tc>
      </w:tr>
      <w:tr w:rsidR="00576BF7" w14:paraId="2797799C" w14:textId="77777777">
        <w:tc>
          <w:tcPr>
            <w:tcW w:w="250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30F12B29" w14:textId="77777777" w:rsidR="00576BF7" w:rsidRDefault="00000000">
            <w:pPr>
              <w:widowControl w:val="0"/>
              <w:spacing w:line="276" w:lineRule="auto"/>
              <w:jc w:val="center"/>
              <w:rPr>
                <w:color w:val="1B1C1D"/>
                <w:sz w:val="20"/>
                <w:szCs w:val="20"/>
              </w:rPr>
            </w:pPr>
            <w:r>
              <w:rPr>
                <w:color w:val="1B1C1D"/>
                <w:sz w:val="20"/>
                <w:szCs w:val="20"/>
              </w:rPr>
              <w:t>Key Deployment Approach</w:t>
            </w:r>
          </w:p>
        </w:tc>
        <w:tc>
          <w:tcPr>
            <w:tcW w:w="2895"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2F11984D" w14:textId="77777777" w:rsidR="00576BF7" w:rsidRDefault="00000000">
            <w:pPr>
              <w:widowControl w:val="0"/>
              <w:spacing w:line="276" w:lineRule="auto"/>
              <w:jc w:val="center"/>
              <w:rPr>
                <w:color w:val="1B1C1D"/>
                <w:sz w:val="20"/>
                <w:szCs w:val="20"/>
              </w:rPr>
            </w:pPr>
            <w:r>
              <w:rPr>
                <w:color w:val="1B1C1D"/>
                <w:sz w:val="20"/>
                <w:szCs w:val="20"/>
              </w:rPr>
              <w:t>Recommended starting with Agentic Retrieval pipeline[7]</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510CA058" w14:textId="77777777" w:rsidR="00576BF7" w:rsidRDefault="00000000">
            <w:pPr>
              <w:widowControl w:val="0"/>
              <w:spacing w:line="276" w:lineRule="auto"/>
              <w:jc w:val="center"/>
              <w:rPr>
                <w:color w:val="1B1C1D"/>
                <w:sz w:val="20"/>
                <w:szCs w:val="20"/>
              </w:rPr>
            </w:pPr>
            <w:r>
              <w:rPr>
                <w:color w:val="1B1C1D"/>
                <w:sz w:val="20"/>
                <w:szCs w:val="20"/>
              </w:rPr>
              <w:t xml:space="preserve">Deployment guidance via Vertex AI, </w:t>
            </w:r>
            <w:proofErr w:type="spellStart"/>
            <w:r>
              <w:rPr>
                <w:color w:val="1B1C1D"/>
                <w:sz w:val="20"/>
                <w:szCs w:val="20"/>
              </w:rPr>
              <w:t>Langchain</w:t>
            </w:r>
            <w:proofErr w:type="spellEnd"/>
            <w:r>
              <w:rPr>
                <w:color w:val="1B1C1D"/>
                <w:sz w:val="20"/>
                <w:szCs w:val="20"/>
              </w:rPr>
              <w:t>, and managed Kubernetes Engine (GKE)[8]</w:t>
            </w:r>
          </w:p>
        </w:tc>
        <w:tc>
          <w:tcPr>
            <w:tcW w:w="2700" w:type="dxa"/>
            <w:tcBorders>
              <w:top w:val="single" w:sz="5" w:space="0" w:color="1B1C1D"/>
              <w:left w:val="single" w:sz="5" w:space="0" w:color="1B1C1D"/>
              <w:bottom w:val="single" w:sz="5" w:space="0" w:color="1B1C1D"/>
              <w:right w:val="single" w:sz="5" w:space="0" w:color="1B1C1D"/>
            </w:tcBorders>
            <w:shd w:val="clear" w:color="auto" w:fill="FFFFFF"/>
            <w:tcMar>
              <w:top w:w="0" w:type="dxa"/>
              <w:left w:w="0" w:type="dxa"/>
              <w:bottom w:w="0" w:type="dxa"/>
              <w:right w:w="0" w:type="dxa"/>
            </w:tcMar>
          </w:tcPr>
          <w:p w14:paraId="6C703468" w14:textId="77777777" w:rsidR="00576BF7" w:rsidRDefault="00000000">
            <w:pPr>
              <w:widowControl w:val="0"/>
              <w:spacing w:line="276" w:lineRule="auto"/>
              <w:jc w:val="center"/>
              <w:rPr>
                <w:color w:val="1B1C1D"/>
                <w:sz w:val="20"/>
                <w:szCs w:val="20"/>
              </w:rPr>
            </w:pPr>
            <w:r>
              <w:rPr>
                <w:color w:val="1B1C1D"/>
                <w:sz w:val="20"/>
                <w:szCs w:val="20"/>
              </w:rPr>
              <w:t>High-level architectural blueprints (e.g., Proposal Development/Public Sector focus)[3]</w:t>
            </w:r>
          </w:p>
        </w:tc>
      </w:tr>
    </w:tbl>
    <w:p w14:paraId="79212B03" w14:textId="77777777" w:rsidR="00576BF7" w:rsidRDefault="00576BF7">
      <w:pPr>
        <w:widowControl w:val="0"/>
        <w:spacing w:after="240" w:line="275" w:lineRule="auto"/>
        <w:rPr>
          <w:sz w:val="20"/>
          <w:szCs w:val="20"/>
        </w:rPr>
      </w:pPr>
    </w:p>
    <w:p w14:paraId="087C0E06" w14:textId="77777777" w:rsidR="00576BF7" w:rsidRDefault="00000000">
      <w:pPr>
        <w:pStyle w:val="Heading2"/>
        <w:keepNext w:val="0"/>
        <w:widowControl w:val="0"/>
        <w:spacing w:before="0" w:after="120" w:line="275" w:lineRule="auto"/>
        <w:ind w:left="0"/>
        <w:jc w:val="center"/>
      </w:pPr>
      <w:r>
        <w:rPr>
          <w:i w:val="0"/>
          <w:iCs w:val="0"/>
          <w:smallCaps/>
        </w:rPr>
        <w:t>VI. The Agentic Paradigm: Orchestration and Framework Maturity (2024–2025)</w:t>
      </w:r>
    </w:p>
    <w:p w14:paraId="1A32C071" w14:textId="77777777" w:rsidR="00576BF7" w:rsidRDefault="00000000">
      <w:pPr>
        <w:pStyle w:val="Heading3"/>
        <w:keepNext w:val="0"/>
        <w:widowControl w:val="0"/>
        <w:spacing w:after="120" w:line="275" w:lineRule="auto"/>
        <w:ind w:left="0"/>
        <w:rPr>
          <w:b/>
          <w:bCs/>
        </w:rPr>
      </w:pPr>
      <w:r>
        <w:rPr>
          <w:b/>
          <w:bCs/>
          <w:i w:val="0"/>
          <w:iCs w:val="0"/>
        </w:rPr>
        <w:t xml:space="preserve">6.1. Framework Benchmarking: </w:t>
      </w:r>
      <w:proofErr w:type="spellStart"/>
      <w:r>
        <w:rPr>
          <w:b/>
          <w:bCs/>
          <w:i w:val="0"/>
          <w:iCs w:val="0"/>
        </w:rPr>
        <w:t>LlamaIndex</w:t>
      </w:r>
      <w:proofErr w:type="spellEnd"/>
      <w:r>
        <w:rPr>
          <w:b/>
          <w:bCs/>
          <w:i w:val="0"/>
          <w:iCs w:val="0"/>
        </w:rPr>
        <w:t xml:space="preserve"> vs. </w:t>
      </w:r>
      <w:proofErr w:type="spellStart"/>
      <w:r>
        <w:rPr>
          <w:b/>
          <w:bCs/>
          <w:i w:val="0"/>
          <w:iCs w:val="0"/>
        </w:rPr>
        <w:t>LangChain</w:t>
      </w:r>
      <w:proofErr w:type="spellEnd"/>
      <w:r>
        <w:rPr>
          <w:b/>
          <w:bCs/>
          <w:i w:val="0"/>
          <w:iCs w:val="0"/>
        </w:rPr>
        <w:t>/</w:t>
      </w:r>
      <w:proofErr w:type="spellStart"/>
      <w:r>
        <w:rPr>
          <w:b/>
          <w:bCs/>
          <w:i w:val="0"/>
          <w:iCs w:val="0"/>
        </w:rPr>
        <w:t>LangGraph</w:t>
      </w:r>
      <w:proofErr w:type="spellEnd"/>
    </w:p>
    <w:p w14:paraId="280D74BC" w14:textId="77777777" w:rsidR="00576BF7" w:rsidRDefault="00000000">
      <w:pPr>
        <w:widowControl w:val="0"/>
        <w:spacing w:after="240" w:line="275" w:lineRule="auto"/>
        <w:rPr>
          <w:sz w:val="20"/>
          <w:szCs w:val="20"/>
        </w:rPr>
      </w:pPr>
      <w:r>
        <w:rPr>
          <w:sz w:val="20"/>
          <w:szCs w:val="20"/>
        </w:rPr>
        <w:t xml:space="preserve">The competitive landscape for RAG orchestration is defined by the core frameworks: </w:t>
      </w:r>
      <w:proofErr w:type="spellStart"/>
      <w:r>
        <w:rPr>
          <w:sz w:val="20"/>
          <w:szCs w:val="20"/>
        </w:rPr>
        <w:t>LlamaIndex</w:t>
      </w:r>
      <w:proofErr w:type="spellEnd"/>
      <w:r>
        <w:rPr>
          <w:sz w:val="20"/>
          <w:szCs w:val="20"/>
        </w:rPr>
        <w:t xml:space="preserve"> and the </w:t>
      </w:r>
      <w:proofErr w:type="spellStart"/>
      <w:r>
        <w:rPr>
          <w:sz w:val="20"/>
          <w:szCs w:val="20"/>
        </w:rPr>
        <w:t>LangChain</w:t>
      </w:r>
      <w:proofErr w:type="spellEnd"/>
      <w:r>
        <w:rPr>
          <w:sz w:val="20"/>
          <w:szCs w:val="20"/>
        </w:rPr>
        <w:t xml:space="preserve"> ecosystem , with </w:t>
      </w:r>
      <w:proofErr w:type="spellStart"/>
      <w:r>
        <w:rPr>
          <w:sz w:val="20"/>
          <w:szCs w:val="20"/>
        </w:rPr>
        <w:t>LangGraph</w:t>
      </w:r>
      <w:proofErr w:type="spellEnd"/>
      <w:r>
        <w:rPr>
          <w:sz w:val="20"/>
          <w:szCs w:val="20"/>
        </w:rPr>
        <w:t xml:space="preserve"> being positioned as the primary method for building agentic workflows. </w:t>
      </w:r>
      <w:proofErr w:type="spellStart"/>
      <w:r>
        <w:rPr>
          <w:sz w:val="20"/>
          <w:szCs w:val="20"/>
        </w:rPr>
        <w:t>LlamaIndex</w:t>
      </w:r>
      <w:proofErr w:type="spellEnd"/>
      <w:r>
        <w:rPr>
          <w:sz w:val="20"/>
          <w:szCs w:val="20"/>
        </w:rPr>
        <w:t xml:space="preserve"> maintains a strong RAG advantage due to its focus on indexing, data ingestion, and mature retrieval modules, often utilizing simpler, Pythonic abstractions. This makes it ideal for straightforward RAG applications where the retrieval component is central. </w:t>
      </w:r>
      <w:proofErr w:type="spellStart"/>
      <w:r>
        <w:rPr>
          <w:sz w:val="20"/>
          <w:szCs w:val="20"/>
        </w:rPr>
        <w:t>LangGraph</w:t>
      </w:r>
      <w:proofErr w:type="spellEnd"/>
      <w:r>
        <w:rPr>
          <w:sz w:val="20"/>
          <w:szCs w:val="20"/>
        </w:rPr>
        <w:t>, conversely, specializes in agent orchestration, using explicit graph structures to build flexible, stateful, multi-agent systems. It provides advanced support for short-term memory (via thread-scoped persistence) and long-term memory via flexible storage interfaces. Both frameworks support durable workflows, checkpointing, and long-lived agent execution, critical for enterprise-grade solutions.</w:t>
      </w:r>
    </w:p>
    <w:p w14:paraId="2744274A" w14:textId="77777777" w:rsidR="00576BF7" w:rsidRDefault="00000000">
      <w:pPr>
        <w:pStyle w:val="Heading3"/>
        <w:keepNext w:val="0"/>
        <w:widowControl w:val="0"/>
        <w:spacing w:after="120" w:line="275" w:lineRule="auto"/>
        <w:ind w:left="0"/>
        <w:rPr>
          <w:b/>
          <w:bCs/>
        </w:rPr>
      </w:pPr>
      <w:r>
        <w:rPr>
          <w:b/>
          <w:bCs/>
          <w:i w:val="0"/>
          <w:iCs w:val="0"/>
        </w:rPr>
        <w:t>6.2. Performance and Observability for Production Systems</w:t>
      </w:r>
    </w:p>
    <w:p w14:paraId="7CA4174C" w14:textId="77777777" w:rsidR="00576BF7" w:rsidRDefault="00000000">
      <w:pPr>
        <w:widowControl w:val="0"/>
        <w:spacing w:after="240" w:line="275" w:lineRule="auto"/>
        <w:rPr>
          <w:sz w:val="20"/>
          <w:szCs w:val="20"/>
        </w:rPr>
      </w:pPr>
      <w:r>
        <w:rPr>
          <w:sz w:val="20"/>
          <w:szCs w:val="20"/>
        </w:rPr>
        <w:t>In controlled benchmarking environments, the orchestration overhead introduced by these frameworks has been measured as minor, often negligible[1]. Performance differences are predominantly driven by variations in the efficiency of the agent's planning (i.e., token count and tool-path utilization). This underscores that the intelligence of the agent itself, rather than the framework's mechanics, determines overall speed.</w:t>
      </w:r>
    </w:p>
    <w:p w14:paraId="3E1EC182" w14:textId="77777777" w:rsidR="00576BF7" w:rsidRDefault="00000000">
      <w:pPr>
        <w:widowControl w:val="0"/>
        <w:spacing w:after="240" w:line="275" w:lineRule="auto"/>
        <w:rPr>
          <w:sz w:val="20"/>
          <w:szCs w:val="20"/>
        </w:rPr>
      </w:pPr>
      <w:r>
        <w:rPr>
          <w:sz w:val="20"/>
          <w:szCs w:val="20"/>
        </w:rPr>
        <w:t xml:space="preserve">For any production-grade system, observability is non-negotiable. </w:t>
      </w:r>
      <w:proofErr w:type="spellStart"/>
      <w:r>
        <w:rPr>
          <w:sz w:val="20"/>
          <w:szCs w:val="20"/>
        </w:rPr>
        <w:t>LangSmith</w:t>
      </w:r>
      <w:proofErr w:type="spellEnd"/>
      <w:r>
        <w:rPr>
          <w:sz w:val="20"/>
          <w:szCs w:val="20"/>
        </w:rPr>
        <w:t xml:space="preserve">, tightly integrated with the </w:t>
      </w:r>
      <w:proofErr w:type="spellStart"/>
      <w:r>
        <w:rPr>
          <w:sz w:val="20"/>
          <w:szCs w:val="20"/>
        </w:rPr>
        <w:t>LangChain</w:t>
      </w:r>
      <w:proofErr w:type="spellEnd"/>
      <w:r>
        <w:rPr>
          <w:sz w:val="20"/>
          <w:szCs w:val="20"/>
        </w:rPr>
        <w:t>/</w:t>
      </w:r>
      <w:proofErr w:type="spellStart"/>
      <w:r>
        <w:rPr>
          <w:sz w:val="20"/>
          <w:szCs w:val="20"/>
        </w:rPr>
        <w:t>LangGraph</w:t>
      </w:r>
      <w:proofErr w:type="spellEnd"/>
      <w:r>
        <w:rPr>
          <w:sz w:val="20"/>
          <w:szCs w:val="20"/>
        </w:rPr>
        <w:t xml:space="preserve"> ecosystem , provides an essential cloud service for tracing and debugging. It records and analyzes every sequence of actions, including prompts, LLM responses, tool outputs, and errors. This allows developers to replay traces and drill down into each step, offering crucial data when an agent fails to perform as expected. While </w:t>
      </w:r>
      <w:proofErr w:type="spellStart"/>
      <w:r>
        <w:rPr>
          <w:sz w:val="20"/>
          <w:szCs w:val="20"/>
        </w:rPr>
        <w:t>LlamaIndex</w:t>
      </w:r>
      <w:proofErr w:type="spellEnd"/>
      <w:r>
        <w:rPr>
          <w:sz w:val="20"/>
          <w:szCs w:val="20"/>
        </w:rPr>
        <w:t xml:space="preserve"> Workflows can build robust stateful systems, the strategic value of </w:t>
      </w:r>
      <w:proofErr w:type="spellStart"/>
      <w:r>
        <w:rPr>
          <w:sz w:val="20"/>
          <w:szCs w:val="20"/>
        </w:rPr>
        <w:t>LangGraph’s</w:t>
      </w:r>
      <w:proofErr w:type="spellEnd"/>
      <w:r>
        <w:rPr>
          <w:sz w:val="20"/>
          <w:szCs w:val="20"/>
        </w:rPr>
        <w:t xml:space="preserve"> dedicated orchestration maturity and the essential </w:t>
      </w:r>
      <w:proofErr w:type="spellStart"/>
      <w:r>
        <w:rPr>
          <w:sz w:val="20"/>
          <w:szCs w:val="20"/>
        </w:rPr>
        <w:t>MLOps</w:t>
      </w:r>
      <w:proofErr w:type="spellEnd"/>
      <w:r>
        <w:rPr>
          <w:sz w:val="20"/>
          <w:szCs w:val="20"/>
        </w:rPr>
        <w:t xml:space="preserve"> auditing provided by </w:t>
      </w:r>
      <w:proofErr w:type="spellStart"/>
      <w:r>
        <w:rPr>
          <w:sz w:val="20"/>
          <w:szCs w:val="20"/>
        </w:rPr>
        <w:t>LangSmith</w:t>
      </w:r>
      <w:proofErr w:type="spellEnd"/>
      <w:r>
        <w:rPr>
          <w:sz w:val="20"/>
          <w:szCs w:val="20"/>
        </w:rPr>
        <w:t xml:space="preserve"> for regulated, long-</w:t>
      </w:r>
      <w:r>
        <w:rPr>
          <w:sz w:val="20"/>
          <w:szCs w:val="20"/>
        </w:rPr>
        <w:lastRenderedPageBreak/>
        <w:t>term deployments is a key factor in enterprise decision-making.</w:t>
      </w:r>
    </w:p>
    <w:p w14:paraId="3CF27EA7" w14:textId="77777777" w:rsidR="00576BF7" w:rsidRDefault="00000000">
      <w:pPr>
        <w:pStyle w:val="Heading2"/>
        <w:keepNext w:val="0"/>
        <w:widowControl w:val="0"/>
        <w:pBdr>
          <w:top w:val="nil"/>
          <w:left w:val="nil"/>
          <w:bottom w:val="nil"/>
          <w:right w:val="nil"/>
          <w:between w:val="nil"/>
        </w:pBdr>
        <w:spacing w:before="0" w:after="120" w:line="275" w:lineRule="auto"/>
        <w:ind w:left="0"/>
        <w:jc w:val="center"/>
        <w:rPr>
          <w:i w:val="0"/>
          <w:iCs w:val="0"/>
          <w:smallCaps/>
        </w:rPr>
      </w:pPr>
      <w:r>
        <w:rPr>
          <w:i w:val="0"/>
          <w:iCs w:val="0"/>
          <w:smallCaps/>
        </w:rPr>
        <w:t>VII. Evaluation and Future Directions</w:t>
      </w:r>
    </w:p>
    <w:p w14:paraId="3DF1B21F" w14:textId="77777777" w:rsidR="00576BF7" w:rsidRDefault="00000000">
      <w:pPr>
        <w:pStyle w:val="Heading3"/>
        <w:keepNext w:val="0"/>
        <w:widowControl w:val="0"/>
        <w:spacing w:after="120" w:line="275" w:lineRule="auto"/>
        <w:ind w:left="0"/>
        <w:rPr>
          <w:b/>
          <w:bCs/>
        </w:rPr>
      </w:pPr>
      <w:r>
        <w:rPr>
          <w:b/>
          <w:bCs/>
          <w:i w:val="0"/>
          <w:iCs w:val="0"/>
        </w:rPr>
        <w:t xml:space="preserve">7.1. RAG Evaluation: The Need for </w:t>
      </w:r>
      <w:proofErr w:type="spellStart"/>
      <w:r>
        <w:rPr>
          <w:b/>
          <w:bCs/>
          <w:i w:val="0"/>
          <w:iCs w:val="0"/>
        </w:rPr>
        <w:t>Groundedness</w:t>
      </w:r>
      <w:proofErr w:type="spellEnd"/>
      <w:r>
        <w:rPr>
          <w:b/>
          <w:bCs/>
          <w:i w:val="0"/>
          <w:iCs w:val="0"/>
        </w:rPr>
        <w:t xml:space="preserve"> Metrics</w:t>
      </w:r>
    </w:p>
    <w:p w14:paraId="7C4B26D9" w14:textId="77777777" w:rsidR="00576BF7" w:rsidRDefault="00000000">
      <w:pPr>
        <w:widowControl w:val="0"/>
        <w:spacing w:after="240" w:line="275" w:lineRule="auto"/>
        <w:rPr>
          <w:sz w:val="20"/>
          <w:szCs w:val="20"/>
        </w:rPr>
      </w:pPr>
      <w:r>
        <w:rPr>
          <w:sz w:val="20"/>
          <w:szCs w:val="20"/>
        </w:rPr>
        <w:t xml:space="preserve">Effective RAG evaluation requires a shift away from traditional LLM metrics (e.g., BLEU/ROUGE) to focus specifically on the quality of retrieval and the resulting factual </w:t>
      </w:r>
      <w:proofErr w:type="spellStart"/>
      <w:r>
        <w:rPr>
          <w:sz w:val="20"/>
          <w:szCs w:val="20"/>
        </w:rPr>
        <w:t>groundedness</w:t>
      </w:r>
      <w:proofErr w:type="spellEnd"/>
      <w:r>
        <w:rPr>
          <w:sz w:val="20"/>
          <w:szCs w:val="20"/>
        </w:rPr>
        <w:t xml:space="preserve">[2]. To meet this need, new tools have emerged, such as the RAGAS framework, which provides specialized reference-free metrics (faithfulness, answer relevance, and context precision) for RAG pipelines , and the </w:t>
      </w:r>
      <w:proofErr w:type="spellStart"/>
      <w:r>
        <w:rPr>
          <w:sz w:val="20"/>
          <w:szCs w:val="20"/>
        </w:rPr>
        <w:t>RAGTruth</w:t>
      </w:r>
      <w:proofErr w:type="spellEnd"/>
      <w:r>
        <w:rPr>
          <w:sz w:val="20"/>
          <w:szCs w:val="20"/>
        </w:rPr>
        <w:t xml:space="preserve"> corpus, designed for fine-grained analysis of hallucinations specifically within RAG outputs. Implementing these metrics is vital for validating deployment quality.</w:t>
      </w:r>
    </w:p>
    <w:p w14:paraId="6A1E5FFF" w14:textId="77777777" w:rsidR="00576BF7" w:rsidRDefault="00000000">
      <w:pPr>
        <w:pStyle w:val="Heading3"/>
        <w:keepNext w:val="0"/>
        <w:widowControl w:val="0"/>
        <w:spacing w:after="120" w:line="275" w:lineRule="auto"/>
        <w:ind w:left="0"/>
        <w:rPr>
          <w:b/>
          <w:bCs/>
        </w:rPr>
      </w:pPr>
      <w:r>
        <w:rPr>
          <w:b/>
          <w:bCs/>
          <w:i w:val="0"/>
          <w:iCs w:val="0"/>
        </w:rPr>
        <w:t>7.2. Persistent Challenges and Open Research Directions</w:t>
      </w:r>
    </w:p>
    <w:p w14:paraId="2A559B92" w14:textId="77777777" w:rsidR="00576BF7" w:rsidRDefault="00000000">
      <w:pPr>
        <w:widowControl w:val="0"/>
        <w:spacing w:after="240" w:line="275" w:lineRule="auto"/>
        <w:rPr>
          <w:sz w:val="20"/>
          <w:szCs w:val="20"/>
        </w:rPr>
      </w:pPr>
      <w:r>
        <w:rPr>
          <w:sz w:val="20"/>
          <w:szCs w:val="20"/>
        </w:rPr>
        <w:t>While RAG architecture has rapidly matured, pipeline inefficiencies and latency remain persistent challenges, especially when scaling systems for high-volume enterprise deployment[1]. Open research points toward several emerging solutions, including continued development of self-reflective RAG, where agents can critique and adapt their strategies autonomously[15]. Other crucial future directions include multi-modal retrieval integrating images, structured data, and video alongside text and optimized fusion strategies to enhance the efficiency of integrating retrieved context with the generative model.</w:t>
      </w:r>
    </w:p>
    <w:p w14:paraId="313DF307" w14:textId="77777777" w:rsidR="00576BF7" w:rsidRDefault="00000000">
      <w:pPr>
        <w:pStyle w:val="Heading2"/>
        <w:keepNext w:val="0"/>
        <w:widowControl w:val="0"/>
        <w:spacing w:before="0" w:after="120" w:line="275" w:lineRule="auto"/>
        <w:ind w:left="0"/>
        <w:jc w:val="center"/>
      </w:pPr>
      <w:r>
        <w:rPr>
          <w:i w:val="0"/>
          <w:iCs w:val="0"/>
          <w:smallCaps/>
        </w:rPr>
        <w:t>VIII. Strategic Recommendations for Enterprise Adoption</w:t>
      </w:r>
    </w:p>
    <w:p w14:paraId="30A115DB" w14:textId="77777777" w:rsidR="00576BF7" w:rsidRDefault="00000000">
      <w:pPr>
        <w:pStyle w:val="Heading3"/>
        <w:keepNext w:val="0"/>
        <w:widowControl w:val="0"/>
        <w:spacing w:after="120" w:line="275" w:lineRule="auto"/>
        <w:ind w:left="0"/>
        <w:rPr>
          <w:b/>
          <w:bCs/>
        </w:rPr>
      </w:pPr>
      <w:r>
        <w:rPr>
          <w:b/>
          <w:bCs/>
          <w:i w:val="0"/>
          <w:iCs w:val="0"/>
        </w:rPr>
        <w:t>8.1. Adopt the Agentic Standard</w:t>
      </w:r>
    </w:p>
    <w:p w14:paraId="2ED042E2" w14:textId="77777777" w:rsidR="00576BF7" w:rsidRDefault="00000000">
      <w:pPr>
        <w:widowControl w:val="0"/>
        <w:spacing w:after="240" w:line="275" w:lineRule="auto"/>
        <w:rPr>
          <w:sz w:val="20"/>
          <w:szCs w:val="20"/>
        </w:rPr>
      </w:pPr>
      <w:r>
        <w:rPr>
          <w:sz w:val="20"/>
          <w:szCs w:val="20"/>
        </w:rPr>
        <w:t xml:space="preserve">Enterprises must structurally transition their RAG planning immediately toward Agentic RAG models[7]. The LLM should be treated as a high-value tool within a robust, multi-step agent framework, rather than the sole logic unit. Critical investment must be allocated toward advanced parsing and indexing tools (such as those providing </w:t>
      </w:r>
      <w:proofErr w:type="spellStart"/>
      <w:r>
        <w:rPr>
          <w:sz w:val="20"/>
          <w:szCs w:val="20"/>
        </w:rPr>
        <w:t>Docling</w:t>
      </w:r>
      <w:proofErr w:type="spellEnd"/>
      <w:r>
        <w:rPr>
          <w:sz w:val="20"/>
          <w:szCs w:val="20"/>
        </w:rPr>
        <w:t>-like capabilities) to ensure complex, hierarchical proprietary documents are processed correctly, preserving vital structural metadata for precise retrieval[7].</w:t>
      </w:r>
    </w:p>
    <w:p w14:paraId="06A2A728" w14:textId="77777777" w:rsidR="00576BF7" w:rsidRDefault="00000000">
      <w:pPr>
        <w:pStyle w:val="Heading3"/>
        <w:keepNext w:val="0"/>
        <w:widowControl w:val="0"/>
        <w:spacing w:after="120" w:line="275" w:lineRule="auto"/>
        <w:ind w:left="0"/>
        <w:rPr>
          <w:b/>
          <w:bCs/>
        </w:rPr>
      </w:pPr>
      <w:r>
        <w:rPr>
          <w:b/>
          <w:bCs/>
          <w:i w:val="0"/>
          <w:iCs w:val="0"/>
        </w:rPr>
        <w:t>8.2. Strategic Cloud and Component Selection</w:t>
      </w:r>
    </w:p>
    <w:p w14:paraId="28F34ED9" w14:textId="77777777" w:rsidR="00576BF7" w:rsidRDefault="00000000">
      <w:pPr>
        <w:widowControl w:val="0"/>
        <w:spacing w:after="240" w:line="275" w:lineRule="auto"/>
        <w:rPr>
          <w:sz w:val="20"/>
          <w:szCs w:val="20"/>
        </w:rPr>
      </w:pPr>
      <w:r>
        <w:rPr>
          <w:sz w:val="20"/>
          <w:szCs w:val="20"/>
        </w:rPr>
        <w:t xml:space="preserve">The choice of cloud provider (AWS, Azure, GCP) should be a strategic decision based on the platform's integrated Agent/Governance service (e.g., Azure Agentic Retrieval , Google </w:t>
      </w:r>
      <w:proofErr w:type="spellStart"/>
      <w:r>
        <w:rPr>
          <w:sz w:val="20"/>
          <w:szCs w:val="20"/>
        </w:rPr>
        <w:t>Agentspace</w:t>
      </w:r>
      <w:proofErr w:type="spellEnd"/>
      <w:r>
        <w:rPr>
          <w:sz w:val="20"/>
          <w:szCs w:val="20"/>
        </w:rPr>
        <w:t xml:space="preserve"> ). This choice must align closely with the organization's existing security policies (IAM/RBAC) and data residency compliance requirements. Furthermore, organizations must mandate hybrid search capabilities using advanced vector databases that allow for deployment flexibility (BYOC) and rich feature sets to maintain customizability and scalability over proprietary knowledge. Utilizing </w:t>
      </w:r>
      <w:proofErr w:type="spellStart"/>
      <w:r>
        <w:rPr>
          <w:sz w:val="20"/>
          <w:szCs w:val="20"/>
        </w:rPr>
        <w:t>GraphRAG</w:t>
      </w:r>
      <w:proofErr w:type="spellEnd"/>
      <w:r>
        <w:rPr>
          <w:sz w:val="20"/>
          <w:szCs w:val="20"/>
        </w:rPr>
        <w:t xml:space="preserve"> is recommended to integrate structured knowledge, which enhances output explainability and enables the necessary fine-grained security permissions.</w:t>
      </w:r>
    </w:p>
    <w:p w14:paraId="19249FD8" w14:textId="77777777" w:rsidR="00576BF7" w:rsidRDefault="00000000">
      <w:pPr>
        <w:pStyle w:val="Heading3"/>
        <w:keepNext w:val="0"/>
        <w:widowControl w:val="0"/>
        <w:spacing w:after="120" w:line="275" w:lineRule="auto"/>
        <w:ind w:left="0"/>
        <w:rPr>
          <w:b/>
          <w:bCs/>
        </w:rPr>
      </w:pPr>
      <w:r>
        <w:rPr>
          <w:b/>
          <w:bCs/>
          <w:i w:val="0"/>
          <w:iCs w:val="0"/>
        </w:rPr>
        <w:t xml:space="preserve">8.3. </w:t>
      </w:r>
      <w:proofErr w:type="spellStart"/>
      <w:r>
        <w:rPr>
          <w:b/>
          <w:bCs/>
          <w:i w:val="0"/>
          <w:iCs w:val="0"/>
        </w:rPr>
        <w:t>MLOps</w:t>
      </w:r>
      <w:proofErr w:type="spellEnd"/>
      <w:r>
        <w:rPr>
          <w:b/>
          <w:bCs/>
          <w:i w:val="0"/>
          <w:iCs w:val="0"/>
        </w:rPr>
        <w:t xml:space="preserve"> and Observability</w:t>
      </w:r>
    </w:p>
    <w:p w14:paraId="2D14E01C" w14:textId="77777777" w:rsidR="00576BF7" w:rsidRDefault="00000000">
      <w:pPr>
        <w:widowControl w:val="0"/>
        <w:spacing w:after="240" w:line="275" w:lineRule="auto"/>
        <w:rPr>
          <w:sz w:val="20"/>
          <w:szCs w:val="20"/>
        </w:rPr>
      </w:pPr>
      <w:r>
        <w:rPr>
          <w:sz w:val="20"/>
          <w:szCs w:val="20"/>
        </w:rPr>
        <w:t xml:space="preserve">When selecting an orchestration framework, </w:t>
      </w:r>
      <w:proofErr w:type="spellStart"/>
      <w:r>
        <w:rPr>
          <w:sz w:val="20"/>
          <w:szCs w:val="20"/>
        </w:rPr>
        <w:t>MLOps</w:t>
      </w:r>
      <w:proofErr w:type="spellEnd"/>
      <w:r>
        <w:rPr>
          <w:sz w:val="20"/>
          <w:szCs w:val="20"/>
        </w:rPr>
        <w:t xml:space="preserve"> capability must be the dominant criterion. For production-grade deployment, the availability of comprehensive tracing and debugging tools, such as </w:t>
      </w:r>
      <w:proofErr w:type="spellStart"/>
      <w:r>
        <w:rPr>
          <w:sz w:val="20"/>
          <w:szCs w:val="20"/>
        </w:rPr>
        <w:t>LangSmith</w:t>
      </w:r>
      <w:proofErr w:type="spellEnd"/>
      <w:r>
        <w:rPr>
          <w:sz w:val="20"/>
          <w:szCs w:val="20"/>
        </w:rPr>
        <w:t xml:space="preserve">, is paramount for auditing and maintaining reliable agent operations and should be prioritized over minor differences in initial RAG abstraction simplicity. Finally, enterprises must establish rigorous internal RAG evaluation frameworks that systematically track metrics related to precision, recall, and, critically, </w:t>
      </w:r>
      <w:proofErr w:type="spellStart"/>
      <w:r>
        <w:rPr>
          <w:sz w:val="20"/>
          <w:szCs w:val="20"/>
        </w:rPr>
        <w:t>groundedness</w:t>
      </w:r>
      <w:proofErr w:type="spellEnd"/>
      <w:r>
        <w:rPr>
          <w:sz w:val="20"/>
          <w:szCs w:val="20"/>
        </w:rPr>
        <w:t xml:space="preserve"> as core </w:t>
      </w:r>
      <w:proofErr w:type="spellStart"/>
      <w:r>
        <w:rPr>
          <w:sz w:val="20"/>
          <w:szCs w:val="20"/>
        </w:rPr>
        <w:t>MLOps</w:t>
      </w:r>
      <w:proofErr w:type="spellEnd"/>
      <w:r>
        <w:rPr>
          <w:sz w:val="20"/>
          <w:szCs w:val="20"/>
        </w:rPr>
        <w:t xml:space="preserve"> KPIs.</w:t>
      </w:r>
    </w:p>
    <w:p w14:paraId="14E66652" w14:textId="77777777" w:rsidR="00576BF7" w:rsidRDefault="00000000">
      <w:pPr>
        <w:pStyle w:val="Heading2"/>
        <w:keepNext w:val="0"/>
        <w:widowControl w:val="0"/>
        <w:spacing w:before="0" w:after="120" w:line="275" w:lineRule="auto"/>
        <w:ind w:left="0"/>
      </w:pPr>
      <w:r>
        <w:rPr>
          <w:i w:val="0"/>
          <w:iCs w:val="0"/>
        </w:rPr>
        <w:t>REFERENCES</w:t>
      </w:r>
    </w:p>
    <w:p w14:paraId="65F00A97" w14:textId="77777777" w:rsidR="00576BF7" w:rsidRDefault="00000000">
      <w:pPr>
        <w:keepLines/>
        <w:widowControl w:val="0"/>
        <w:numPr>
          <w:ilvl w:val="0"/>
          <w:numId w:val="4"/>
        </w:numPr>
        <w:rPr>
          <w:sz w:val="20"/>
          <w:szCs w:val="20"/>
        </w:rPr>
      </w:pPr>
      <w:r>
        <w:rPr>
          <w:sz w:val="20"/>
          <w:szCs w:val="20"/>
        </w:rPr>
        <w:t xml:space="preserve"> A. Asai, Z. Wu, Y. Wang, A. Sil, and H. Hajishirzi, “Self-RAG: Learning to Retrieve, Generate, and Critique through Self-Reflection,” </w:t>
      </w:r>
      <w:r>
        <w:rPr>
          <w:i/>
          <w:iCs/>
          <w:sz w:val="20"/>
          <w:szCs w:val="20"/>
        </w:rPr>
        <w:t>International Conference on Learning Representations (ICLR)</w:t>
      </w:r>
      <w:r>
        <w:rPr>
          <w:sz w:val="20"/>
          <w:szCs w:val="20"/>
        </w:rPr>
        <w:t>, 2024.</w:t>
      </w:r>
    </w:p>
    <w:p w14:paraId="44D3228A" w14:textId="77777777" w:rsidR="00576BF7" w:rsidRDefault="00000000">
      <w:pPr>
        <w:keepLines/>
        <w:widowControl w:val="0"/>
        <w:numPr>
          <w:ilvl w:val="0"/>
          <w:numId w:val="4"/>
        </w:numPr>
        <w:rPr>
          <w:sz w:val="20"/>
          <w:szCs w:val="20"/>
        </w:rPr>
      </w:pPr>
      <w:r>
        <w:rPr>
          <w:sz w:val="20"/>
          <w:szCs w:val="20"/>
        </w:rPr>
        <w:t xml:space="preserve">A. Mallen, A. Asai, V. Zhong, R. Das, D. </w:t>
      </w:r>
      <w:proofErr w:type="spellStart"/>
      <w:r>
        <w:rPr>
          <w:sz w:val="20"/>
          <w:szCs w:val="20"/>
        </w:rPr>
        <w:t>Khashabi</w:t>
      </w:r>
      <w:proofErr w:type="spellEnd"/>
      <w:r>
        <w:rPr>
          <w:sz w:val="20"/>
          <w:szCs w:val="20"/>
        </w:rPr>
        <w:t xml:space="preserve">, and H. Hajishirzi, “When Not to Trust Language Models: Investigating Effectiveness of Parametric and Non-Parametric Memories,” </w:t>
      </w:r>
      <w:r>
        <w:rPr>
          <w:i/>
          <w:iCs/>
          <w:sz w:val="20"/>
          <w:szCs w:val="20"/>
        </w:rPr>
        <w:t>Proc. ACL 2023</w:t>
      </w:r>
      <w:r>
        <w:rPr>
          <w:sz w:val="20"/>
          <w:szCs w:val="20"/>
        </w:rPr>
        <w:t>, pp. 9802–9822.</w:t>
      </w:r>
    </w:p>
    <w:p w14:paraId="72E0E03F" w14:textId="77777777" w:rsidR="00576BF7" w:rsidRDefault="00000000">
      <w:pPr>
        <w:keepLines/>
        <w:widowControl w:val="0"/>
        <w:numPr>
          <w:ilvl w:val="0"/>
          <w:numId w:val="4"/>
        </w:numPr>
        <w:rPr>
          <w:sz w:val="20"/>
          <w:szCs w:val="20"/>
        </w:rPr>
      </w:pPr>
      <w:r>
        <w:rPr>
          <w:sz w:val="20"/>
          <w:szCs w:val="20"/>
        </w:rPr>
        <w:t xml:space="preserve">A. Q. Jiang, A. </w:t>
      </w:r>
      <w:proofErr w:type="spellStart"/>
      <w:r>
        <w:rPr>
          <w:sz w:val="20"/>
          <w:szCs w:val="20"/>
        </w:rPr>
        <w:t>Sablayrolles</w:t>
      </w:r>
      <w:proofErr w:type="spellEnd"/>
      <w:r>
        <w:rPr>
          <w:sz w:val="20"/>
          <w:szCs w:val="20"/>
        </w:rPr>
        <w:t xml:space="preserve">, A. Mensch, et al., “Mistral 7B,” </w:t>
      </w:r>
      <w:proofErr w:type="spellStart"/>
      <w:r>
        <w:rPr>
          <w:i/>
          <w:iCs/>
          <w:sz w:val="20"/>
          <w:szCs w:val="20"/>
        </w:rPr>
        <w:t>arXiv</w:t>
      </w:r>
      <w:proofErr w:type="spellEnd"/>
      <w:r>
        <w:rPr>
          <w:i/>
          <w:iCs/>
          <w:sz w:val="20"/>
          <w:szCs w:val="20"/>
        </w:rPr>
        <w:t xml:space="preserve"> preprint arXiv:2310.06825</w:t>
      </w:r>
      <w:r>
        <w:rPr>
          <w:sz w:val="20"/>
          <w:szCs w:val="20"/>
        </w:rPr>
        <w:t>, 2023.</w:t>
      </w:r>
    </w:p>
    <w:p w14:paraId="3807C21B" w14:textId="77777777" w:rsidR="00576BF7" w:rsidRDefault="00000000">
      <w:pPr>
        <w:keepLines/>
        <w:widowControl w:val="0"/>
        <w:numPr>
          <w:ilvl w:val="0"/>
          <w:numId w:val="4"/>
        </w:numPr>
        <w:rPr>
          <w:sz w:val="20"/>
          <w:szCs w:val="20"/>
        </w:rPr>
      </w:pPr>
      <w:r>
        <w:rPr>
          <w:sz w:val="20"/>
          <w:szCs w:val="20"/>
        </w:rPr>
        <w:t xml:space="preserve">A. Radford, J. W. Kim, C. Hallacy, A. Ramesh, G. Goh, S. Agarwal, et al., “Learning Transferable Visual Models </w:t>
      </w:r>
      <w:proofErr w:type="gramStart"/>
      <w:r>
        <w:rPr>
          <w:sz w:val="20"/>
          <w:szCs w:val="20"/>
        </w:rPr>
        <w:t>From</w:t>
      </w:r>
      <w:proofErr w:type="gramEnd"/>
      <w:r>
        <w:rPr>
          <w:sz w:val="20"/>
          <w:szCs w:val="20"/>
        </w:rPr>
        <w:t xml:space="preserve"> Natural Language Supervision,” </w:t>
      </w:r>
      <w:r>
        <w:rPr>
          <w:i/>
          <w:iCs/>
          <w:sz w:val="20"/>
          <w:szCs w:val="20"/>
        </w:rPr>
        <w:t>ICML</w:t>
      </w:r>
      <w:r>
        <w:rPr>
          <w:sz w:val="20"/>
          <w:szCs w:val="20"/>
        </w:rPr>
        <w:t>, PMLR, pp. 8748–8763, 2021.</w:t>
      </w:r>
    </w:p>
    <w:p w14:paraId="1CAE4AF8" w14:textId="77777777" w:rsidR="00576BF7" w:rsidRDefault="00000000">
      <w:pPr>
        <w:keepLines/>
        <w:widowControl w:val="0"/>
        <w:numPr>
          <w:ilvl w:val="0"/>
          <w:numId w:val="4"/>
        </w:numPr>
        <w:rPr>
          <w:sz w:val="20"/>
          <w:szCs w:val="20"/>
        </w:rPr>
      </w:pPr>
      <w:r>
        <w:rPr>
          <w:sz w:val="20"/>
          <w:szCs w:val="20"/>
        </w:rPr>
        <w:t xml:space="preserve">A. Vaswani, N. </w:t>
      </w:r>
      <w:proofErr w:type="spellStart"/>
      <w:r>
        <w:rPr>
          <w:sz w:val="20"/>
          <w:szCs w:val="20"/>
        </w:rPr>
        <w:t>Shazeer</w:t>
      </w:r>
      <w:proofErr w:type="spellEnd"/>
      <w:r>
        <w:rPr>
          <w:sz w:val="20"/>
          <w:szCs w:val="20"/>
        </w:rPr>
        <w:t xml:space="preserve">, N. Parmar, et al., “Attention Is All You Need,” </w:t>
      </w:r>
      <w:r>
        <w:rPr>
          <w:i/>
          <w:iCs/>
          <w:sz w:val="20"/>
          <w:szCs w:val="20"/>
        </w:rPr>
        <w:t>Advances in Neural Information Processing Systems (</w:t>
      </w:r>
      <w:proofErr w:type="spellStart"/>
      <w:r>
        <w:rPr>
          <w:i/>
          <w:iCs/>
          <w:sz w:val="20"/>
          <w:szCs w:val="20"/>
        </w:rPr>
        <w:t>NeurIPS</w:t>
      </w:r>
      <w:proofErr w:type="spellEnd"/>
      <w:r>
        <w:rPr>
          <w:i/>
          <w:iCs/>
          <w:sz w:val="20"/>
          <w:szCs w:val="20"/>
        </w:rPr>
        <w:t>)</w:t>
      </w:r>
      <w:r>
        <w:rPr>
          <w:sz w:val="20"/>
          <w:szCs w:val="20"/>
        </w:rPr>
        <w:t>, 2017, pp. 5998–6008.</w:t>
      </w:r>
    </w:p>
    <w:p w14:paraId="657ED8AB" w14:textId="77777777" w:rsidR="00576BF7" w:rsidRDefault="00000000">
      <w:pPr>
        <w:keepLines/>
        <w:widowControl w:val="0"/>
        <w:numPr>
          <w:ilvl w:val="0"/>
          <w:numId w:val="4"/>
        </w:numPr>
        <w:rPr>
          <w:sz w:val="20"/>
          <w:szCs w:val="20"/>
        </w:rPr>
      </w:pPr>
      <w:r>
        <w:rPr>
          <w:sz w:val="20"/>
          <w:szCs w:val="20"/>
        </w:rPr>
        <w:lastRenderedPageBreak/>
        <w:t xml:space="preserve">Amazon Web Services, “Amazon Bedrock Knowledge Bases,” </w:t>
      </w:r>
      <w:r>
        <w:rPr>
          <w:i/>
          <w:iCs/>
          <w:sz w:val="20"/>
          <w:szCs w:val="20"/>
        </w:rPr>
        <w:t>Technical Documentation</w:t>
      </w:r>
      <w:r>
        <w:rPr>
          <w:sz w:val="20"/>
          <w:szCs w:val="20"/>
        </w:rPr>
        <w:t>,</w:t>
      </w:r>
      <w:hyperlink r:id="rId11">
        <w:r>
          <w:rPr>
            <w:sz w:val="20"/>
            <w:szCs w:val="20"/>
          </w:rPr>
          <w:t xml:space="preserve"> </w:t>
        </w:r>
      </w:hyperlink>
      <w:hyperlink r:id="rId12">
        <w:r>
          <w:rPr>
            <w:color w:val="1155CC"/>
            <w:sz w:val="20"/>
            <w:szCs w:val="20"/>
            <w:u w:val="single"/>
          </w:rPr>
          <w:t>https://docs.aws.amazon.com/bedrock/latest/userguide/knowledge-base.html</w:t>
        </w:r>
      </w:hyperlink>
      <w:r>
        <w:rPr>
          <w:sz w:val="20"/>
          <w:szCs w:val="20"/>
        </w:rPr>
        <w:t>, 2024.</w:t>
      </w:r>
    </w:p>
    <w:p w14:paraId="4E4B0A63" w14:textId="77777777" w:rsidR="00576BF7" w:rsidRDefault="00000000">
      <w:pPr>
        <w:keepLines/>
        <w:widowControl w:val="0"/>
        <w:numPr>
          <w:ilvl w:val="0"/>
          <w:numId w:val="4"/>
        </w:numPr>
        <w:rPr>
          <w:sz w:val="20"/>
          <w:szCs w:val="20"/>
        </w:rPr>
      </w:pPr>
      <w:r>
        <w:rPr>
          <w:sz w:val="20"/>
          <w:szCs w:val="20"/>
        </w:rPr>
        <w:t xml:space="preserve">Anthropic, “Claude 3 Model Family,” </w:t>
      </w:r>
      <w:r>
        <w:rPr>
          <w:i/>
          <w:iCs/>
          <w:sz w:val="20"/>
          <w:szCs w:val="20"/>
        </w:rPr>
        <w:t>Technical Documentation</w:t>
      </w:r>
      <w:r>
        <w:rPr>
          <w:sz w:val="20"/>
          <w:szCs w:val="20"/>
        </w:rPr>
        <w:t>,</w:t>
      </w:r>
      <w:hyperlink r:id="rId13">
        <w:r>
          <w:rPr>
            <w:sz w:val="20"/>
            <w:szCs w:val="20"/>
          </w:rPr>
          <w:t xml:space="preserve"> </w:t>
        </w:r>
      </w:hyperlink>
      <w:hyperlink r:id="rId14">
        <w:r>
          <w:rPr>
            <w:color w:val="1155CC"/>
            <w:sz w:val="20"/>
            <w:szCs w:val="20"/>
            <w:u w:val="single"/>
          </w:rPr>
          <w:t>https://www.anthropic.com/claude</w:t>
        </w:r>
      </w:hyperlink>
      <w:r>
        <w:rPr>
          <w:sz w:val="20"/>
          <w:szCs w:val="20"/>
        </w:rPr>
        <w:t>, 2024.</w:t>
      </w:r>
    </w:p>
    <w:p w14:paraId="2FDA51E1" w14:textId="77777777" w:rsidR="00576BF7" w:rsidRDefault="00000000">
      <w:pPr>
        <w:keepLines/>
        <w:widowControl w:val="0"/>
        <w:numPr>
          <w:ilvl w:val="0"/>
          <w:numId w:val="4"/>
        </w:numPr>
        <w:rPr>
          <w:sz w:val="20"/>
          <w:szCs w:val="20"/>
        </w:rPr>
      </w:pPr>
      <w:r>
        <w:rPr>
          <w:sz w:val="20"/>
          <w:szCs w:val="20"/>
        </w:rPr>
        <w:t xml:space="preserve">C. Wu, S. Yin, W. Qi, X. Wang, Z. Tang, and N. Duan, “Visual ChatGPT: Talking, Drawing and Editing with Visual Foundation Models,” </w:t>
      </w:r>
      <w:proofErr w:type="spellStart"/>
      <w:r>
        <w:rPr>
          <w:i/>
          <w:iCs/>
          <w:sz w:val="20"/>
          <w:szCs w:val="20"/>
        </w:rPr>
        <w:t>arXiv</w:t>
      </w:r>
      <w:proofErr w:type="spellEnd"/>
      <w:r>
        <w:rPr>
          <w:i/>
          <w:iCs/>
          <w:sz w:val="20"/>
          <w:szCs w:val="20"/>
        </w:rPr>
        <w:t xml:space="preserve"> preprint arXiv:2303.04671</w:t>
      </w:r>
      <w:r>
        <w:rPr>
          <w:sz w:val="20"/>
          <w:szCs w:val="20"/>
        </w:rPr>
        <w:t>, 2023.</w:t>
      </w:r>
    </w:p>
    <w:p w14:paraId="6583FD60" w14:textId="77777777" w:rsidR="00576BF7" w:rsidRDefault="00000000">
      <w:pPr>
        <w:keepLines/>
        <w:widowControl w:val="0"/>
        <w:numPr>
          <w:ilvl w:val="0"/>
          <w:numId w:val="4"/>
        </w:numPr>
        <w:rPr>
          <w:sz w:val="20"/>
          <w:szCs w:val="20"/>
        </w:rPr>
      </w:pPr>
      <w:r>
        <w:rPr>
          <w:sz w:val="20"/>
          <w:szCs w:val="20"/>
        </w:rPr>
        <w:t xml:space="preserve">D. Chen, A. Fisch, J. Weston, and A. Bordes, “Reading Wikipedia to Answer Open-Domain Questions,” </w:t>
      </w:r>
      <w:r>
        <w:rPr>
          <w:i/>
          <w:iCs/>
          <w:sz w:val="20"/>
          <w:szCs w:val="20"/>
        </w:rPr>
        <w:t>Proc. ACL</w:t>
      </w:r>
      <w:r>
        <w:rPr>
          <w:sz w:val="20"/>
          <w:szCs w:val="20"/>
        </w:rPr>
        <w:t>, 2017, pp. 1870–1879.</w:t>
      </w:r>
    </w:p>
    <w:p w14:paraId="139C4782" w14:textId="77777777" w:rsidR="00576BF7" w:rsidRDefault="00000000">
      <w:pPr>
        <w:keepLines/>
        <w:widowControl w:val="0"/>
        <w:numPr>
          <w:ilvl w:val="0"/>
          <w:numId w:val="4"/>
        </w:numPr>
        <w:rPr>
          <w:sz w:val="20"/>
          <w:szCs w:val="20"/>
        </w:rPr>
      </w:pPr>
      <w:r>
        <w:rPr>
          <w:sz w:val="20"/>
          <w:szCs w:val="20"/>
        </w:rPr>
        <w:t xml:space="preserve">D. Edge, H. Trinh, N. Cheng, et al., “From Local to Global: A Graph RAG Approach to Query-Focused Summarization,” </w:t>
      </w:r>
      <w:r>
        <w:rPr>
          <w:i/>
          <w:iCs/>
          <w:sz w:val="20"/>
          <w:szCs w:val="20"/>
        </w:rPr>
        <w:t>Microsoft Research Technical Report</w:t>
      </w:r>
      <w:r>
        <w:rPr>
          <w:sz w:val="20"/>
          <w:szCs w:val="20"/>
        </w:rPr>
        <w:t>, April 2024.</w:t>
      </w:r>
    </w:p>
    <w:p w14:paraId="6D7014D3" w14:textId="77777777" w:rsidR="00576BF7" w:rsidRDefault="00000000">
      <w:pPr>
        <w:keepLines/>
        <w:widowControl w:val="0"/>
        <w:numPr>
          <w:ilvl w:val="0"/>
          <w:numId w:val="4"/>
        </w:numPr>
        <w:rPr>
          <w:sz w:val="20"/>
          <w:szCs w:val="20"/>
        </w:rPr>
      </w:pPr>
      <w:r>
        <w:rPr>
          <w:sz w:val="20"/>
          <w:szCs w:val="20"/>
        </w:rPr>
        <w:t xml:space="preserve">D. Zhu, J. Chen, X. Shen, X. Li, and M. </w:t>
      </w:r>
      <w:proofErr w:type="spellStart"/>
      <w:r>
        <w:rPr>
          <w:sz w:val="20"/>
          <w:szCs w:val="20"/>
        </w:rPr>
        <w:t>Elhoseiny</w:t>
      </w:r>
      <w:proofErr w:type="spellEnd"/>
      <w:r>
        <w:rPr>
          <w:sz w:val="20"/>
          <w:szCs w:val="20"/>
        </w:rPr>
        <w:t xml:space="preserve">, “MiniGPT-4: Enhancing Vision-Language Understanding with Advanced Large Language Models,” </w:t>
      </w:r>
      <w:proofErr w:type="spellStart"/>
      <w:r>
        <w:rPr>
          <w:i/>
          <w:iCs/>
          <w:sz w:val="20"/>
          <w:szCs w:val="20"/>
        </w:rPr>
        <w:t>arXiv</w:t>
      </w:r>
      <w:proofErr w:type="spellEnd"/>
      <w:r>
        <w:rPr>
          <w:i/>
          <w:iCs/>
          <w:sz w:val="20"/>
          <w:szCs w:val="20"/>
        </w:rPr>
        <w:t xml:space="preserve"> preprint arXiv:2304.10592</w:t>
      </w:r>
      <w:r>
        <w:rPr>
          <w:sz w:val="20"/>
          <w:szCs w:val="20"/>
        </w:rPr>
        <w:t>, 2023.</w:t>
      </w:r>
    </w:p>
    <w:p w14:paraId="7FDBD13E" w14:textId="77777777" w:rsidR="00576BF7" w:rsidRDefault="00000000">
      <w:pPr>
        <w:keepLines/>
        <w:widowControl w:val="0"/>
        <w:numPr>
          <w:ilvl w:val="0"/>
          <w:numId w:val="4"/>
        </w:numPr>
        <w:rPr>
          <w:sz w:val="20"/>
          <w:szCs w:val="20"/>
        </w:rPr>
      </w:pPr>
      <w:r>
        <w:rPr>
          <w:sz w:val="20"/>
          <w:szCs w:val="20"/>
        </w:rPr>
        <w:t xml:space="preserve">E. M. Bender, T. Gebru, A. McMillan-Major, and S. </w:t>
      </w:r>
      <w:proofErr w:type="spellStart"/>
      <w:r>
        <w:rPr>
          <w:sz w:val="20"/>
          <w:szCs w:val="20"/>
        </w:rPr>
        <w:t>Shmitchell</w:t>
      </w:r>
      <w:proofErr w:type="spellEnd"/>
      <w:r>
        <w:rPr>
          <w:sz w:val="20"/>
          <w:szCs w:val="20"/>
        </w:rPr>
        <w:t xml:space="preserve">, “On the Dangers of Stochastic Parrots: Can Language Models Be Too Big?,” </w:t>
      </w:r>
      <w:r>
        <w:rPr>
          <w:i/>
          <w:iCs/>
          <w:sz w:val="20"/>
          <w:szCs w:val="20"/>
        </w:rPr>
        <w:t>Proc. ACM Conference on Fairness, Accountability, and Transparency</w:t>
      </w:r>
      <w:r>
        <w:rPr>
          <w:sz w:val="20"/>
          <w:szCs w:val="20"/>
        </w:rPr>
        <w:t>, 2021, pp. 610–623.</w:t>
      </w:r>
    </w:p>
    <w:p w14:paraId="2EF73BA0" w14:textId="77777777" w:rsidR="00576BF7" w:rsidRDefault="00000000">
      <w:pPr>
        <w:keepLines/>
        <w:widowControl w:val="0"/>
        <w:numPr>
          <w:ilvl w:val="0"/>
          <w:numId w:val="4"/>
        </w:numPr>
        <w:rPr>
          <w:sz w:val="20"/>
          <w:szCs w:val="20"/>
        </w:rPr>
      </w:pPr>
      <w:r>
        <w:rPr>
          <w:sz w:val="20"/>
          <w:szCs w:val="20"/>
        </w:rPr>
        <w:t xml:space="preserve">F. </w:t>
      </w:r>
      <w:proofErr w:type="spellStart"/>
      <w:r>
        <w:rPr>
          <w:sz w:val="20"/>
          <w:szCs w:val="20"/>
        </w:rPr>
        <w:t>Tramèr</w:t>
      </w:r>
      <w:proofErr w:type="spellEnd"/>
      <w:r>
        <w:rPr>
          <w:sz w:val="20"/>
          <w:szCs w:val="20"/>
        </w:rPr>
        <w:t xml:space="preserve">, N. Carlini, W. Brendel, and A. Madry, “On Adaptive Attacks to Adversarial Example Defenses,” </w:t>
      </w:r>
      <w:proofErr w:type="spellStart"/>
      <w:r>
        <w:rPr>
          <w:i/>
          <w:iCs/>
          <w:sz w:val="20"/>
          <w:szCs w:val="20"/>
        </w:rPr>
        <w:t>NeurIPS</w:t>
      </w:r>
      <w:proofErr w:type="spellEnd"/>
      <w:r>
        <w:rPr>
          <w:sz w:val="20"/>
          <w:szCs w:val="20"/>
        </w:rPr>
        <w:t>, 2020, pp. 1633–1645.</w:t>
      </w:r>
    </w:p>
    <w:p w14:paraId="5DB72597" w14:textId="77777777" w:rsidR="00576BF7" w:rsidRDefault="00000000">
      <w:pPr>
        <w:keepLines/>
        <w:widowControl w:val="0"/>
        <w:numPr>
          <w:ilvl w:val="0"/>
          <w:numId w:val="4"/>
        </w:numPr>
        <w:rPr>
          <w:sz w:val="20"/>
          <w:szCs w:val="20"/>
        </w:rPr>
      </w:pPr>
      <w:r>
        <w:rPr>
          <w:sz w:val="20"/>
          <w:szCs w:val="20"/>
        </w:rPr>
        <w:t xml:space="preserve">Gartner, “Worldwide Public Cloud End-User Spending Forecast,” </w:t>
      </w:r>
      <w:r>
        <w:rPr>
          <w:i/>
          <w:iCs/>
          <w:sz w:val="20"/>
          <w:szCs w:val="20"/>
        </w:rPr>
        <w:t>Market Research Report</w:t>
      </w:r>
      <w:r>
        <w:rPr>
          <w:sz w:val="20"/>
          <w:szCs w:val="20"/>
        </w:rPr>
        <w:t>, October 2023.</w:t>
      </w:r>
    </w:p>
    <w:p w14:paraId="562A0219" w14:textId="77777777" w:rsidR="00576BF7" w:rsidRDefault="00000000">
      <w:pPr>
        <w:keepLines/>
        <w:widowControl w:val="0"/>
        <w:numPr>
          <w:ilvl w:val="0"/>
          <w:numId w:val="4"/>
        </w:numPr>
        <w:rPr>
          <w:sz w:val="20"/>
          <w:szCs w:val="20"/>
        </w:rPr>
      </w:pPr>
      <w:r>
        <w:rPr>
          <w:sz w:val="20"/>
          <w:szCs w:val="20"/>
        </w:rPr>
        <w:t>Google Cloud, “</w:t>
      </w:r>
      <w:proofErr w:type="spellStart"/>
      <w:r>
        <w:rPr>
          <w:sz w:val="20"/>
          <w:szCs w:val="20"/>
        </w:rPr>
        <w:t>Agentspace</w:t>
      </w:r>
      <w:proofErr w:type="spellEnd"/>
      <w:r>
        <w:rPr>
          <w:sz w:val="20"/>
          <w:szCs w:val="20"/>
        </w:rPr>
        <w:t xml:space="preserve">: Multi-Agent Orchestration Platform,” </w:t>
      </w:r>
      <w:r>
        <w:rPr>
          <w:i/>
          <w:iCs/>
          <w:sz w:val="20"/>
          <w:szCs w:val="20"/>
        </w:rPr>
        <w:t>Technical Documentation</w:t>
      </w:r>
      <w:r>
        <w:rPr>
          <w:sz w:val="20"/>
          <w:szCs w:val="20"/>
        </w:rPr>
        <w:t>, 2024.</w:t>
      </w:r>
    </w:p>
    <w:p w14:paraId="249F56AB" w14:textId="77777777" w:rsidR="00576BF7" w:rsidRDefault="00000000">
      <w:pPr>
        <w:keepLines/>
        <w:widowControl w:val="0"/>
        <w:numPr>
          <w:ilvl w:val="0"/>
          <w:numId w:val="4"/>
        </w:numPr>
        <w:rPr>
          <w:sz w:val="20"/>
          <w:szCs w:val="20"/>
        </w:rPr>
      </w:pPr>
      <w:r>
        <w:rPr>
          <w:sz w:val="20"/>
          <w:szCs w:val="20"/>
        </w:rPr>
        <w:t xml:space="preserve">Google Cloud, “Vertex AI Agent Builder: Technical Overview,” </w:t>
      </w:r>
      <w:r>
        <w:rPr>
          <w:i/>
          <w:iCs/>
          <w:sz w:val="20"/>
          <w:szCs w:val="20"/>
        </w:rPr>
        <w:t>Technical Documentation</w:t>
      </w:r>
      <w:r>
        <w:rPr>
          <w:sz w:val="20"/>
          <w:szCs w:val="20"/>
        </w:rPr>
        <w:t>,</w:t>
      </w:r>
      <w:hyperlink r:id="rId15">
        <w:r>
          <w:rPr>
            <w:sz w:val="20"/>
            <w:szCs w:val="20"/>
          </w:rPr>
          <w:t xml:space="preserve"> </w:t>
        </w:r>
      </w:hyperlink>
      <w:hyperlink r:id="rId16">
        <w:r>
          <w:rPr>
            <w:color w:val="1155CC"/>
            <w:sz w:val="20"/>
            <w:szCs w:val="20"/>
            <w:u w:val="single"/>
          </w:rPr>
          <w:t>https://cloud.google.com/vertex-ai/docs/agent-builder</w:t>
        </w:r>
      </w:hyperlink>
      <w:r>
        <w:rPr>
          <w:sz w:val="20"/>
          <w:szCs w:val="20"/>
        </w:rPr>
        <w:t>, 2024.</w:t>
      </w:r>
    </w:p>
    <w:p w14:paraId="0FCCB2F1" w14:textId="77777777" w:rsidR="00576BF7" w:rsidRDefault="00000000">
      <w:pPr>
        <w:keepLines/>
        <w:widowControl w:val="0"/>
        <w:numPr>
          <w:ilvl w:val="0"/>
          <w:numId w:val="4"/>
        </w:numPr>
        <w:rPr>
          <w:sz w:val="20"/>
          <w:szCs w:val="20"/>
        </w:rPr>
      </w:pPr>
      <w:r>
        <w:rPr>
          <w:sz w:val="20"/>
          <w:szCs w:val="20"/>
        </w:rPr>
        <w:t xml:space="preserve">Google DeepMind, “Gemini 1.5: Unlocking Multimodal Understanding Across Millions of Tokens of Context,” </w:t>
      </w:r>
      <w:r>
        <w:rPr>
          <w:i/>
          <w:iCs/>
          <w:sz w:val="20"/>
          <w:szCs w:val="20"/>
        </w:rPr>
        <w:t>Technical Report</w:t>
      </w:r>
      <w:r>
        <w:rPr>
          <w:sz w:val="20"/>
          <w:szCs w:val="20"/>
        </w:rPr>
        <w:t>, February 2024.</w:t>
      </w:r>
    </w:p>
    <w:p w14:paraId="3AF992B4" w14:textId="77777777" w:rsidR="00576BF7" w:rsidRDefault="00000000">
      <w:pPr>
        <w:keepLines/>
        <w:widowControl w:val="0"/>
        <w:numPr>
          <w:ilvl w:val="0"/>
          <w:numId w:val="4"/>
        </w:numPr>
        <w:rPr>
          <w:sz w:val="20"/>
          <w:szCs w:val="20"/>
        </w:rPr>
      </w:pPr>
      <w:r>
        <w:rPr>
          <w:sz w:val="20"/>
          <w:szCs w:val="20"/>
        </w:rPr>
        <w:t xml:space="preserve">H. Liu, C. Li, Q. Wu, and Y. J. Lee, “Visual Instruction Tuning,” </w:t>
      </w:r>
      <w:proofErr w:type="spellStart"/>
      <w:r>
        <w:rPr>
          <w:i/>
          <w:iCs/>
          <w:sz w:val="20"/>
          <w:szCs w:val="20"/>
        </w:rPr>
        <w:t>NeurIPS</w:t>
      </w:r>
      <w:proofErr w:type="spellEnd"/>
      <w:r>
        <w:rPr>
          <w:i/>
          <w:iCs/>
          <w:sz w:val="20"/>
          <w:szCs w:val="20"/>
        </w:rPr>
        <w:t xml:space="preserve"> 36</w:t>
      </w:r>
      <w:r>
        <w:rPr>
          <w:sz w:val="20"/>
          <w:szCs w:val="20"/>
        </w:rPr>
        <w:t>, 2023.</w:t>
      </w:r>
    </w:p>
    <w:p w14:paraId="137DE45A" w14:textId="77777777" w:rsidR="00576BF7" w:rsidRDefault="00000000">
      <w:pPr>
        <w:keepLines/>
        <w:widowControl w:val="0"/>
        <w:numPr>
          <w:ilvl w:val="0"/>
          <w:numId w:val="4"/>
        </w:numPr>
        <w:rPr>
          <w:sz w:val="20"/>
          <w:szCs w:val="20"/>
        </w:rPr>
      </w:pPr>
      <w:r>
        <w:rPr>
          <w:sz w:val="20"/>
          <w:szCs w:val="20"/>
        </w:rPr>
        <w:t xml:space="preserve">H. </w:t>
      </w:r>
      <w:proofErr w:type="spellStart"/>
      <w:r>
        <w:rPr>
          <w:sz w:val="20"/>
          <w:szCs w:val="20"/>
        </w:rPr>
        <w:t>Touvron</w:t>
      </w:r>
      <w:proofErr w:type="spellEnd"/>
      <w:r>
        <w:rPr>
          <w:sz w:val="20"/>
          <w:szCs w:val="20"/>
        </w:rPr>
        <w:t xml:space="preserve">, T. </w:t>
      </w:r>
      <w:proofErr w:type="spellStart"/>
      <w:r>
        <w:rPr>
          <w:sz w:val="20"/>
          <w:szCs w:val="20"/>
        </w:rPr>
        <w:t>Lavril</w:t>
      </w:r>
      <w:proofErr w:type="spellEnd"/>
      <w:r>
        <w:rPr>
          <w:sz w:val="20"/>
          <w:szCs w:val="20"/>
        </w:rPr>
        <w:t>, G. Izacard, et al., “</w:t>
      </w:r>
      <w:proofErr w:type="spellStart"/>
      <w:r>
        <w:rPr>
          <w:sz w:val="20"/>
          <w:szCs w:val="20"/>
        </w:rPr>
        <w:t>LLaMA</w:t>
      </w:r>
      <w:proofErr w:type="spellEnd"/>
      <w:r>
        <w:rPr>
          <w:sz w:val="20"/>
          <w:szCs w:val="20"/>
        </w:rPr>
        <w:t xml:space="preserve">: Open and Efficient Foundation Language Models,” </w:t>
      </w:r>
      <w:proofErr w:type="spellStart"/>
      <w:r>
        <w:rPr>
          <w:i/>
          <w:iCs/>
          <w:sz w:val="20"/>
          <w:szCs w:val="20"/>
        </w:rPr>
        <w:t>arXiv</w:t>
      </w:r>
      <w:proofErr w:type="spellEnd"/>
      <w:r>
        <w:rPr>
          <w:i/>
          <w:iCs/>
          <w:sz w:val="20"/>
          <w:szCs w:val="20"/>
        </w:rPr>
        <w:t xml:space="preserve"> preprint arXiv:2302.13971</w:t>
      </w:r>
      <w:r>
        <w:rPr>
          <w:sz w:val="20"/>
          <w:szCs w:val="20"/>
        </w:rPr>
        <w:t>, 2023.</w:t>
      </w:r>
    </w:p>
    <w:p w14:paraId="5FAE05D1" w14:textId="77777777" w:rsidR="00576BF7" w:rsidRDefault="00000000">
      <w:pPr>
        <w:keepLines/>
        <w:widowControl w:val="0"/>
        <w:numPr>
          <w:ilvl w:val="0"/>
          <w:numId w:val="4"/>
        </w:numPr>
        <w:rPr>
          <w:sz w:val="20"/>
          <w:szCs w:val="20"/>
        </w:rPr>
      </w:pPr>
      <w:r>
        <w:rPr>
          <w:sz w:val="20"/>
          <w:szCs w:val="20"/>
        </w:rPr>
        <w:t xml:space="preserve">J. Devlin, M.-W. Chang, K. Lee, and K. Toutanova, “BERT: Pre-Training of Deep Bidirectional Transformers for Language Understanding,” </w:t>
      </w:r>
      <w:r>
        <w:rPr>
          <w:i/>
          <w:iCs/>
          <w:sz w:val="20"/>
          <w:szCs w:val="20"/>
        </w:rPr>
        <w:t>Proc. NAACL-HLT</w:t>
      </w:r>
      <w:r>
        <w:rPr>
          <w:sz w:val="20"/>
          <w:szCs w:val="20"/>
        </w:rPr>
        <w:t>, 2019, pp. 4171–4186.</w:t>
      </w:r>
    </w:p>
    <w:p w14:paraId="32221AD0" w14:textId="77777777" w:rsidR="00576BF7" w:rsidRDefault="00000000">
      <w:pPr>
        <w:keepLines/>
        <w:widowControl w:val="0"/>
        <w:numPr>
          <w:ilvl w:val="0"/>
          <w:numId w:val="4"/>
        </w:numPr>
        <w:rPr>
          <w:sz w:val="20"/>
          <w:szCs w:val="20"/>
        </w:rPr>
      </w:pPr>
      <w:r>
        <w:rPr>
          <w:sz w:val="20"/>
          <w:szCs w:val="20"/>
        </w:rPr>
        <w:t xml:space="preserve">J. Johnson, M. </w:t>
      </w:r>
      <w:proofErr w:type="spellStart"/>
      <w:r>
        <w:rPr>
          <w:sz w:val="20"/>
          <w:szCs w:val="20"/>
        </w:rPr>
        <w:t>Douze</w:t>
      </w:r>
      <w:proofErr w:type="spellEnd"/>
      <w:r>
        <w:rPr>
          <w:sz w:val="20"/>
          <w:szCs w:val="20"/>
        </w:rPr>
        <w:t xml:space="preserve">, and H. Jégou, “Billion-Scale Similarity Search with GPUs,” </w:t>
      </w:r>
      <w:r>
        <w:rPr>
          <w:i/>
          <w:iCs/>
          <w:sz w:val="20"/>
          <w:szCs w:val="20"/>
        </w:rPr>
        <w:t>IEEE Transactions on Big Data</w:t>
      </w:r>
      <w:r>
        <w:rPr>
          <w:sz w:val="20"/>
          <w:szCs w:val="20"/>
        </w:rPr>
        <w:t>, vol. 7, no. 3, pp. 535–547, 2019.</w:t>
      </w:r>
    </w:p>
    <w:p w14:paraId="616B6903" w14:textId="77777777" w:rsidR="00576BF7" w:rsidRDefault="00000000">
      <w:pPr>
        <w:keepLines/>
        <w:widowControl w:val="0"/>
        <w:numPr>
          <w:ilvl w:val="0"/>
          <w:numId w:val="4"/>
        </w:numPr>
        <w:rPr>
          <w:sz w:val="20"/>
          <w:szCs w:val="20"/>
        </w:rPr>
      </w:pPr>
      <w:r>
        <w:rPr>
          <w:sz w:val="20"/>
          <w:szCs w:val="20"/>
        </w:rPr>
        <w:t xml:space="preserve">J. Lin, R. Nogueira, and A. Yates, “Pretrained Transformers for Text Ranking: BERT and Beyond,” </w:t>
      </w:r>
      <w:r>
        <w:rPr>
          <w:i/>
          <w:iCs/>
          <w:sz w:val="20"/>
          <w:szCs w:val="20"/>
        </w:rPr>
        <w:t>Synthesis Lectures on HLT</w:t>
      </w:r>
      <w:r>
        <w:rPr>
          <w:sz w:val="20"/>
          <w:szCs w:val="20"/>
        </w:rPr>
        <w:t>, vol. 14, no. 4, 2021.</w:t>
      </w:r>
    </w:p>
    <w:p w14:paraId="70A894EB" w14:textId="77777777" w:rsidR="00576BF7" w:rsidRDefault="00000000">
      <w:pPr>
        <w:keepLines/>
        <w:widowControl w:val="0"/>
        <w:numPr>
          <w:ilvl w:val="0"/>
          <w:numId w:val="4"/>
        </w:numPr>
        <w:rPr>
          <w:sz w:val="20"/>
          <w:szCs w:val="20"/>
        </w:rPr>
      </w:pPr>
      <w:r>
        <w:rPr>
          <w:sz w:val="20"/>
          <w:szCs w:val="20"/>
        </w:rPr>
        <w:t xml:space="preserve">J. Wang, L. Chen, H. Zhang, Y. Wu, and X. Liu, “Medical Graph RAG: Integrating Clinical Knowledge Graphs for Safe Healthcare QA,” </w:t>
      </w:r>
      <w:proofErr w:type="spellStart"/>
      <w:r>
        <w:rPr>
          <w:i/>
          <w:iCs/>
          <w:sz w:val="20"/>
          <w:szCs w:val="20"/>
        </w:rPr>
        <w:t>arXiv</w:t>
      </w:r>
      <w:proofErr w:type="spellEnd"/>
      <w:r>
        <w:rPr>
          <w:i/>
          <w:iCs/>
          <w:sz w:val="20"/>
          <w:szCs w:val="20"/>
        </w:rPr>
        <w:t xml:space="preserve"> preprint arXiv:2407.xxxxx</w:t>
      </w:r>
      <w:r>
        <w:rPr>
          <w:sz w:val="20"/>
          <w:szCs w:val="20"/>
        </w:rPr>
        <w:t>, 2024.</w:t>
      </w:r>
    </w:p>
    <w:p w14:paraId="0E65ECBE" w14:textId="77777777" w:rsidR="00576BF7" w:rsidRDefault="00000000">
      <w:pPr>
        <w:keepLines/>
        <w:widowControl w:val="0"/>
        <w:numPr>
          <w:ilvl w:val="0"/>
          <w:numId w:val="4"/>
        </w:numPr>
        <w:rPr>
          <w:sz w:val="20"/>
          <w:szCs w:val="20"/>
        </w:rPr>
      </w:pPr>
      <w:r>
        <w:rPr>
          <w:sz w:val="20"/>
          <w:szCs w:val="20"/>
        </w:rPr>
        <w:t xml:space="preserve">J. Wei, X. Wang, D. Schuurmans, et al., “Chain-of-Thought Prompting Elicits Reasoning in Large Language Models,” </w:t>
      </w:r>
      <w:proofErr w:type="spellStart"/>
      <w:r>
        <w:rPr>
          <w:i/>
          <w:iCs/>
          <w:sz w:val="20"/>
          <w:szCs w:val="20"/>
        </w:rPr>
        <w:t>NeurIPS</w:t>
      </w:r>
      <w:proofErr w:type="spellEnd"/>
      <w:r>
        <w:rPr>
          <w:i/>
          <w:iCs/>
          <w:sz w:val="20"/>
          <w:szCs w:val="20"/>
        </w:rPr>
        <w:t xml:space="preserve"> 35</w:t>
      </w:r>
      <w:r>
        <w:rPr>
          <w:sz w:val="20"/>
          <w:szCs w:val="20"/>
        </w:rPr>
        <w:t>, 2022, pp. 24824–24837.</w:t>
      </w:r>
    </w:p>
    <w:p w14:paraId="7737E1C1" w14:textId="77777777" w:rsidR="00576BF7" w:rsidRDefault="00000000">
      <w:pPr>
        <w:keepLines/>
        <w:widowControl w:val="0"/>
        <w:numPr>
          <w:ilvl w:val="0"/>
          <w:numId w:val="4"/>
        </w:numPr>
        <w:rPr>
          <w:sz w:val="20"/>
          <w:szCs w:val="20"/>
        </w:rPr>
      </w:pPr>
      <w:r>
        <w:rPr>
          <w:sz w:val="20"/>
          <w:szCs w:val="20"/>
        </w:rPr>
        <w:t>J. Zhang, X. Liu, J. Zhang, K. Zhao, et al., “</w:t>
      </w:r>
      <w:proofErr w:type="spellStart"/>
      <w:r>
        <w:rPr>
          <w:sz w:val="20"/>
          <w:szCs w:val="20"/>
        </w:rPr>
        <w:t>GraphRAG</w:t>
      </w:r>
      <w:proofErr w:type="spellEnd"/>
      <w:r>
        <w:rPr>
          <w:sz w:val="20"/>
          <w:szCs w:val="20"/>
        </w:rPr>
        <w:t xml:space="preserve">: Graph-based Retrieval-Augmented Generation,” </w:t>
      </w:r>
      <w:proofErr w:type="spellStart"/>
      <w:r>
        <w:rPr>
          <w:i/>
          <w:iCs/>
          <w:sz w:val="20"/>
          <w:szCs w:val="20"/>
        </w:rPr>
        <w:t>arXiv</w:t>
      </w:r>
      <w:proofErr w:type="spellEnd"/>
      <w:r>
        <w:rPr>
          <w:i/>
          <w:iCs/>
          <w:sz w:val="20"/>
          <w:szCs w:val="20"/>
        </w:rPr>
        <w:t xml:space="preserve"> preprint arXiv:2408.xxxxx</w:t>
      </w:r>
      <w:r>
        <w:rPr>
          <w:sz w:val="20"/>
          <w:szCs w:val="20"/>
        </w:rPr>
        <w:t>, 2024.</w:t>
      </w:r>
    </w:p>
    <w:p w14:paraId="35DC93D0" w14:textId="77777777" w:rsidR="00576BF7" w:rsidRDefault="00000000">
      <w:pPr>
        <w:keepLines/>
        <w:widowControl w:val="0"/>
        <w:numPr>
          <w:ilvl w:val="0"/>
          <w:numId w:val="4"/>
        </w:numPr>
        <w:rPr>
          <w:sz w:val="20"/>
          <w:szCs w:val="20"/>
        </w:rPr>
      </w:pPr>
      <w:r>
        <w:rPr>
          <w:sz w:val="20"/>
          <w:szCs w:val="20"/>
        </w:rPr>
        <w:t xml:space="preserve">L. Gao, X. Ma, J. Lin, and J. Callan, “Precise Zero-Shot Dense Retrieval without Relevance Labels,” </w:t>
      </w:r>
      <w:r>
        <w:rPr>
          <w:i/>
          <w:iCs/>
          <w:sz w:val="20"/>
          <w:szCs w:val="20"/>
        </w:rPr>
        <w:t>Proc. ACL 2023</w:t>
      </w:r>
      <w:r>
        <w:rPr>
          <w:sz w:val="20"/>
          <w:szCs w:val="20"/>
        </w:rPr>
        <w:t>, pp. 1762–1777.</w:t>
      </w:r>
    </w:p>
    <w:p w14:paraId="6A1F5F36" w14:textId="77777777" w:rsidR="00576BF7" w:rsidRDefault="00000000">
      <w:pPr>
        <w:keepLines/>
        <w:widowControl w:val="0"/>
        <w:numPr>
          <w:ilvl w:val="0"/>
          <w:numId w:val="4"/>
        </w:numPr>
        <w:rPr>
          <w:sz w:val="20"/>
          <w:szCs w:val="20"/>
        </w:rPr>
      </w:pPr>
      <w:r>
        <w:rPr>
          <w:sz w:val="20"/>
          <w:szCs w:val="20"/>
        </w:rPr>
        <w:t xml:space="preserve">L. Gao, Z. Dai, P. </w:t>
      </w:r>
      <w:proofErr w:type="spellStart"/>
      <w:r>
        <w:rPr>
          <w:sz w:val="20"/>
          <w:szCs w:val="20"/>
        </w:rPr>
        <w:t>Pasupat</w:t>
      </w:r>
      <w:proofErr w:type="spellEnd"/>
      <w:r>
        <w:rPr>
          <w:sz w:val="20"/>
          <w:szCs w:val="20"/>
        </w:rPr>
        <w:t xml:space="preserve">, et al., “RARR: Researching and Revising What Language Models Say, Using Language Models,” </w:t>
      </w:r>
      <w:r>
        <w:rPr>
          <w:i/>
          <w:iCs/>
          <w:sz w:val="20"/>
          <w:szCs w:val="20"/>
        </w:rPr>
        <w:t>Proc. ACL 2023</w:t>
      </w:r>
      <w:r>
        <w:rPr>
          <w:sz w:val="20"/>
          <w:szCs w:val="20"/>
        </w:rPr>
        <w:t>, pp. 16477–16508.</w:t>
      </w:r>
    </w:p>
    <w:p w14:paraId="509493DA" w14:textId="77777777" w:rsidR="00576BF7" w:rsidRDefault="00000000">
      <w:pPr>
        <w:keepLines/>
        <w:widowControl w:val="0"/>
        <w:numPr>
          <w:ilvl w:val="0"/>
          <w:numId w:val="4"/>
        </w:numPr>
        <w:rPr>
          <w:sz w:val="20"/>
          <w:szCs w:val="20"/>
        </w:rPr>
      </w:pPr>
      <w:r>
        <w:rPr>
          <w:sz w:val="20"/>
          <w:szCs w:val="20"/>
        </w:rPr>
        <w:t xml:space="preserve">L. Ouyang, J. Wu, X. Jiang, et al., “Training Language Models to Follow Instructions with Human Feedback,” </w:t>
      </w:r>
      <w:proofErr w:type="spellStart"/>
      <w:r>
        <w:rPr>
          <w:i/>
          <w:iCs/>
          <w:sz w:val="20"/>
          <w:szCs w:val="20"/>
        </w:rPr>
        <w:t>NeurIPS</w:t>
      </w:r>
      <w:proofErr w:type="spellEnd"/>
      <w:r>
        <w:rPr>
          <w:i/>
          <w:iCs/>
          <w:sz w:val="20"/>
          <w:szCs w:val="20"/>
        </w:rPr>
        <w:t xml:space="preserve"> 35</w:t>
      </w:r>
      <w:r>
        <w:rPr>
          <w:sz w:val="20"/>
          <w:szCs w:val="20"/>
        </w:rPr>
        <w:t>, 2022, pp. 27730–27744.</w:t>
      </w:r>
    </w:p>
    <w:p w14:paraId="6EF8E7FC" w14:textId="77777777" w:rsidR="00576BF7" w:rsidRDefault="00000000">
      <w:pPr>
        <w:keepLines/>
        <w:widowControl w:val="0"/>
        <w:numPr>
          <w:ilvl w:val="0"/>
          <w:numId w:val="4"/>
        </w:numPr>
        <w:rPr>
          <w:sz w:val="20"/>
          <w:szCs w:val="20"/>
        </w:rPr>
      </w:pPr>
      <w:r>
        <w:rPr>
          <w:sz w:val="20"/>
          <w:szCs w:val="20"/>
        </w:rPr>
        <w:t xml:space="preserve">L. Wang, C. Ma, X. Feng, et al., “A Survey on Large Language Model Based Autonomous Agents,” </w:t>
      </w:r>
      <w:proofErr w:type="spellStart"/>
      <w:r>
        <w:rPr>
          <w:i/>
          <w:iCs/>
          <w:sz w:val="20"/>
          <w:szCs w:val="20"/>
        </w:rPr>
        <w:t>arXiv</w:t>
      </w:r>
      <w:proofErr w:type="spellEnd"/>
      <w:r>
        <w:rPr>
          <w:i/>
          <w:iCs/>
          <w:sz w:val="20"/>
          <w:szCs w:val="20"/>
        </w:rPr>
        <w:t xml:space="preserve"> preprint arXiv:2308.11432</w:t>
      </w:r>
      <w:r>
        <w:rPr>
          <w:sz w:val="20"/>
          <w:szCs w:val="20"/>
        </w:rPr>
        <w:t>, 2023.</w:t>
      </w:r>
    </w:p>
    <w:p w14:paraId="5DE8ADEC" w14:textId="77777777" w:rsidR="00576BF7" w:rsidRDefault="00000000">
      <w:pPr>
        <w:keepLines/>
        <w:widowControl w:val="0"/>
        <w:numPr>
          <w:ilvl w:val="0"/>
          <w:numId w:val="4"/>
        </w:numPr>
        <w:rPr>
          <w:sz w:val="20"/>
          <w:szCs w:val="20"/>
        </w:rPr>
      </w:pPr>
      <w:r>
        <w:rPr>
          <w:sz w:val="20"/>
          <w:szCs w:val="20"/>
        </w:rPr>
        <w:t xml:space="preserve">L. Yue, X. Wang, J. Yuan, et al., “Chain-of-Note: Enhancing Robustness in Retrieval-Augmented Language Models,” </w:t>
      </w:r>
      <w:proofErr w:type="spellStart"/>
      <w:r>
        <w:rPr>
          <w:i/>
          <w:iCs/>
          <w:sz w:val="20"/>
          <w:szCs w:val="20"/>
        </w:rPr>
        <w:t>arXiv</w:t>
      </w:r>
      <w:proofErr w:type="spellEnd"/>
      <w:r>
        <w:rPr>
          <w:i/>
          <w:iCs/>
          <w:sz w:val="20"/>
          <w:szCs w:val="20"/>
        </w:rPr>
        <w:t xml:space="preserve"> preprint arXiv:2311.09210</w:t>
      </w:r>
      <w:r>
        <w:rPr>
          <w:sz w:val="20"/>
          <w:szCs w:val="20"/>
        </w:rPr>
        <w:t>, 2023.</w:t>
      </w:r>
    </w:p>
    <w:p w14:paraId="42652ED8" w14:textId="77777777" w:rsidR="00576BF7" w:rsidRDefault="00000000">
      <w:pPr>
        <w:keepLines/>
        <w:widowControl w:val="0"/>
        <w:numPr>
          <w:ilvl w:val="0"/>
          <w:numId w:val="4"/>
        </w:numPr>
        <w:rPr>
          <w:sz w:val="20"/>
          <w:szCs w:val="20"/>
        </w:rPr>
      </w:pPr>
      <w:proofErr w:type="spellStart"/>
      <w:r>
        <w:rPr>
          <w:sz w:val="20"/>
          <w:szCs w:val="20"/>
        </w:rPr>
        <w:t>LangChain</w:t>
      </w:r>
      <w:proofErr w:type="spellEnd"/>
      <w:r>
        <w:rPr>
          <w:sz w:val="20"/>
          <w:szCs w:val="20"/>
        </w:rPr>
        <w:t>, “</w:t>
      </w:r>
      <w:proofErr w:type="spellStart"/>
      <w:r>
        <w:rPr>
          <w:sz w:val="20"/>
          <w:szCs w:val="20"/>
        </w:rPr>
        <w:t>LangChain</w:t>
      </w:r>
      <w:proofErr w:type="spellEnd"/>
      <w:r>
        <w:rPr>
          <w:sz w:val="20"/>
          <w:szCs w:val="20"/>
        </w:rPr>
        <w:t xml:space="preserve"> Documentation,”</w:t>
      </w:r>
      <w:hyperlink r:id="rId17">
        <w:r>
          <w:rPr>
            <w:sz w:val="20"/>
            <w:szCs w:val="20"/>
          </w:rPr>
          <w:t xml:space="preserve"> </w:t>
        </w:r>
      </w:hyperlink>
      <w:hyperlink r:id="rId18">
        <w:r>
          <w:rPr>
            <w:i/>
            <w:iCs/>
            <w:color w:val="1155CC"/>
            <w:sz w:val="20"/>
            <w:szCs w:val="20"/>
            <w:u w:val="single"/>
          </w:rPr>
          <w:t>https://python.langchain.com/docs/</w:t>
        </w:r>
      </w:hyperlink>
      <w:r>
        <w:rPr>
          <w:sz w:val="20"/>
          <w:szCs w:val="20"/>
        </w:rPr>
        <w:t>, 2024.</w:t>
      </w:r>
    </w:p>
    <w:p w14:paraId="3EC2F4D4" w14:textId="77777777" w:rsidR="00576BF7" w:rsidRDefault="00000000">
      <w:pPr>
        <w:keepLines/>
        <w:widowControl w:val="0"/>
        <w:numPr>
          <w:ilvl w:val="0"/>
          <w:numId w:val="4"/>
        </w:numPr>
        <w:rPr>
          <w:sz w:val="20"/>
          <w:szCs w:val="20"/>
        </w:rPr>
      </w:pPr>
      <w:proofErr w:type="spellStart"/>
      <w:r>
        <w:rPr>
          <w:sz w:val="20"/>
          <w:szCs w:val="20"/>
        </w:rPr>
        <w:t>LlamaIndex</w:t>
      </w:r>
      <w:proofErr w:type="spellEnd"/>
      <w:r>
        <w:rPr>
          <w:sz w:val="20"/>
          <w:szCs w:val="20"/>
        </w:rPr>
        <w:t>, “</w:t>
      </w:r>
      <w:proofErr w:type="spellStart"/>
      <w:r>
        <w:rPr>
          <w:sz w:val="20"/>
          <w:szCs w:val="20"/>
        </w:rPr>
        <w:t>LlamaIndex</w:t>
      </w:r>
      <w:proofErr w:type="spellEnd"/>
      <w:r>
        <w:rPr>
          <w:sz w:val="20"/>
          <w:szCs w:val="20"/>
        </w:rPr>
        <w:t xml:space="preserve"> Documentation,”</w:t>
      </w:r>
      <w:hyperlink r:id="rId19">
        <w:r>
          <w:rPr>
            <w:sz w:val="20"/>
            <w:szCs w:val="20"/>
          </w:rPr>
          <w:t xml:space="preserve"> </w:t>
        </w:r>
      </w:hyperlink>
      <w:hyperlink r:id="rId20">
        <w:r>
          <w:rPr>
            <w:i/>
            <w:iCs/>
            <w:color w:val="1155CC"/>
            <w:sz w:val="20"/>
            <w:szCs w:val="20"/>
            <w:u w:val="single"/>
          </w:rPr>
          <w:t>https://docs.llamaindex.ai/</w:t>
        </w:r>
      </w:hyperlink>
      <w:r>
        <w:rPr>
          <w:sz w:val="20"/>
          <w:szCs w:val="20"/>
        </w:rPr>
        <w:t>, 2024.</w:t>
      </w:r>
    </w:p>
    <w:p w14:paraId="5837331E" w14:textId="77777777" w:rsidR="00576BF7" w:rsidRDefault="00000000">
      <w:pPr>
        <w:keepLines/>
        <w:widowControl w:val="0"/>
        <w:numPr>
          <w:ilvl w:val="0"/>
          <w:numId w:val="4"/>
        </w:numPr>
        <w:rPr>
          <w:sz w:val="20"/>
          <w:szCs w:val="20"/>
        </w:rPr>
      </w:pPr>
      <w:r>
        <w:rPr>
          <w:sz w:val="20"/>
          <w:szCs w:val="20"/>
        </w:rPr>
        <w:t>M. Zhang, R. Li, W. Chen, et al., “</w:t>
      </w:r>
      <w:proofErr w:type="spellStart"/>
      <w:r>
        <w:rPr>
          <w:sz w:val="20"/>
          <w:szCs w:val="20"/>
        </w:rPr>
        <w:t>PathRAG</w:t>
      </w:r>
      <w:proofErr w:type="spellEnd"/>
      <w:r>
        <w:rPr>
          <w:sz w:val="20"/>
          <w:szCs w:val="20"/>
        </w:rPr>
        <w:t xml:space="preserve">: Optimizing Knowledge Graph Traversal for Efficient Retrieval,” </w:t>
      </w:r>
      <w:proofErr w:type="spellStart"/>
      <w:r>
        <w:rPr>
          <w:i/>
          <w:iCs/>
          <w:sz w:val="20"/>
          <w:szCs w:val="20"/>
        </w:rPr>
        <w:t>arXiv</w:t>
      </w:r>
      <w:proofErr w:type="spellEnd"/>
      <w:r>
        <w:rPr>
          <w:i/>
          <w:iCs/>
          <w:sz w:val="20"/>
          <w:szCs w:val="20"/>
        </w:rPr>
        <w:t xml:space="preserve"> preprint arXiv:2409.xxxxx</w:t>
      </w:r>
      <w:r>
        <w:rPr>
          <w:sz w:val="20"/>
          <w:szCs w:val="20"/>
        </w:rPr>
        <w:t>, 2024.</w:t>
      </w:r>
    </w:p>
    <w:p w14:paraId="58B0F863" w14:textId="77777777" w:rsidR="00576BF7" w:rsidRDefault="00000000">
      <w:pPr>
        <w:keepLines/>
        <w:widowControl w:val="0"/>
        <w:numPr>
          <w:ilvl w:val="0"/>
          <w:numId w:val="4"/>
        </w:numPr>
        <w:rPr>
          <w:sz w:val="20"/>
          <w:szCs w:val="20"/>
        </w:rPr>
      </w:pPr>
      <w:r>
        <w:rPr>
          <w:sz w:val="20"/>
          <w:szCs w:val="20"/>
        </w:rPr>
        <w:t xml:space="preserve">Microsoft, “Azure AI Search: Agentic Retrieval,” </w:t>
      </w:r>
      <w:r>
        <w:rPr>
          <w:i/>
          <w:iCs/>
          <w:sz w:val="20"/>
          <w:szCs w:val="20"/>
        </w:rPr>
        <w:t>Technical Report</w:t>
      </w:r>
      <w:r>
        <w:rPr>
          <w:sz w:val="20"/>
          <w:szCs w:val="20"/>
        </w:rPr>
        <w:t>, November 2024.</w:t>
      </w:r>
    </w:p>
    <w:p w14:paraId="1835DCC9" w14:textId="77777777" w:rsidR="00576BF7" w:rsidRDefault="00000000">
      <w:pPr>
        <w:keepLines/>
        <w:widowControl w:val="0"/>
        <w:numPr>
          <w:ilvl w:val="0"/>
          <w:numId w:val="4"/>
        </w:numPr>
        <w:rPr>
          <w:sz w:val="20"/>
          <w:szCs w:val="20"/>
        </w:rPr>
      </w:pPr>
      <w:r>
        <w:rPr>
          <w:sz w:val="20"/>
          <w:szCs w:val="20"/>
        </w:rPr>
        <w:t xml:space="preserve">Microsoft Research, “Agentic Retrieval-Augmented Generation: A Survey on Agentic RAG,” </w:t>
      </w:r>
      <w:r>
        <w:rPr>
          <w:i/>
          <w:iCs/>
          <w:sz w:val="20"/>
          <w:szCs w:val="20"/>
        </w:rPr>
        <w:t>Technical Report</w:t>
      </w:r>
      <w:r>
        <w:rPr>
          <w:sz w:val="20"/>
          <w:szCs w:val="20"/>
        </w:rPr>
        <w:t>, February 2025.</w:t>
      </w:r>
    </w:p>
    <w:p w14:paraId="6563D74B" w14:textId="77777777" w:rsidR="00576BF7" w:rsidRDefault="00000000">
      <w:pPr>
        <w:keepLines/>
        <w:widowControl w:val="0"/>
        <w:numPr>
          <w:ilvl w:val="0"/>
          <w:numId w:val="4"/>
        </w:numPr>
        <w:rPr>
          <w:sz w:val="20"/>
          <w:szCs w:val="20"/>
        </w:rPr>
      </w:pPr>
      <w:r>
        <w:rPr>
          <w:sz w:val="20"/>
          <w:szCs w:val="20"/>
        </w:rPr>
        <w:t xml:space="preserve">N. Carlini, F. </w:t>
      </w:r>
      <w:proofErr w:type="spellStart"/>
      <w:r>
        <w:rPr>
          <w:sz w:val="20"/>
          <w:szCs w:val="20"/>
        </w:rPr>
        <w:t>Tramer</w:t>
      </w:r>
      <w:proofErr w:type="spellEnd"/>
      <w:r>
        <w:rPr>
          <w:sz w:val="20"/>
          <w:szCs w:val="20"/>
        </w:rPr>
        <w:t xml:space="preserve">, E. Wallace, et al., “Extracting Training Data from Large Language Models,” </w:t>
      </w:r>
      <w:r>
        <w:rPr>
          <w:i/>
          <w:iCs/>
          <w:sz w:val="20"/>
          <w:szCs w:val="20"/>
        </w:rPr>
        <w:t>USENIX Security Symposium</w:t>
      </w:r>
      <w:r>
        <w:rPr>
          <w:sz w:val="20"/>
          <w:szCs w:val="20"/>
        </w:rPr>
        <w:t>, 2021, pp. 2633–2650.</w:t>
      </w:r>
    </w:p>
    <w:p w14:paraId="42475500" w14:textId="77777777" w:rsidR="00576BF7" w:rsidRDefault="00000000">
      <w:pPr>
        <w:keepLines/>
        <w:widowControl w:val="0"/>
        <w:numPr>
          <w:ilvl w:val="0"/>
          <w:numId w:val="4"/>
        </w:numPr>
        <w:rPr>
          <w:sz w:val="20"/>
          <w:szCs w:val="20"/>
        </w:rPr>
      </w:pPr>
      <w:r>
        <w:rPr>
          <w:sz w:val="20"/>
          <w:szCs w:val="20"/>
        </w:rPr>
        <w:t xml:space="preserve">N. Malkov and D. Yashunin, “Efficient and Robust Approximate Nearest Neighbor Search Using Hierarchical Navigable Small World Graphs,” </w:t>
      </w:r>
      <w:r>
        <w:rPr>
          <w:i/>
          <w:iCs/>
          <w:sz w:val="20"/>
          <w:szCs w:val="20"/>
        </w:rPr>
        <w:t>IEEE TPAMI</w:t>
      </w:r>
      <w:r>
        <w:rPr>
          <w:sz w:val="20"/>
          <w:szCs w:val="20"/>
        </w:rPr>
        <w:t>, vol. 42, no. 4, pp. 824–836, 2018.</w:t>
      </w:r>
    </w:p>
    <w:p w14:paraId="4594CB66" w14:textId="77777777" w:rsidR="00576BF7" w:rsidRDefault="00000000">
      <w:pPr>
        <w:keepLines/>
        <w:widowControl w:val="0"/>
        <w:numPr>
          <w:ilvl w:val="0"/>
          <w:numId w:val="4"/>
        </w:numPr>
        <w:rPr>
          <w:sz w:val="20"/>
          <w:szCs w:val="20"/>
        </w:rPr>
      </w:pPr>
      <w:r>
        <w:rPr>
          <w:sz w:val="20"/>
          <w:szCs w:val="20"/>
        </w:rPr>
        <w:t xml:space="preserve">N. Reimers and I. </w:t>
      </w:r>
      <w:proofErr w:type="spellStart"/>
      <w:r>
        <w:rPr>
          <w:sz w:val="20"/>
          <w:szCs w:val="20"/>
        </w:rPr>
        <w:t>Gurevych</w:t>
      </w:r>
      <w:proofErr w:type="spellEnd"/>
      <w:r>
        <w:rPr>
          <w:sz w:val="20"/>
          <w:szCs w:val="20"/>
        </w:rPr>
        <w:t xml:space="preserve">, “Sentence-BERT: Sentence Embeddings Using Siamese BERT-Networks,” </w:t>
      </w:r>
      <w:r>
        <w:rPr>
          <w:i/>
          <w:iCs/>
          <w:sz w:val="20"/>
          <w:szCs w:val="20"/>
        </w:rPr>
        <w:t>Proc. EMNLP-IJCNLP 2019</w:t>
      </w:r>
      <w:r>
        <w:rPr>
          <w:sz w:val="20"/>
          <w:szCs w:val="20"/>
        </w:rPr>
        <w:t>, pp. 3982–3992.</w:t>
      </w:r>
    </w:p>
    <w:p w14:paraId="784BDF31" w14:textId="77777777" w:rsidR="00576BF7" w:rsidRDefault="00000000">
      <w:pPr>
        <w:keepLines/>
        <w:widowControl w:val="0"/>
        <w:numPr>
          <w:ilvl w:val="0"/>
          <w:numId w:val="4"/>
        </w:numPr>
        <w:rPr>
          <w:sz w:val="20"/>
          <w:szCs w:val="20"/>
        </w:rPr>
      </w:pPr>
      <w:r>
        <w:rPr>
          <w:sz w:val="20"/>
          <w:szCs w:val="20"/>
        </w:rPr>
        <w:lastRenderedPageBreak/>
        <w:t xml:space="preserve">N. Thakur, N. Reimers, A. </w:t>
      </w:r>
      <w:proofErr w:type="spellStart"/>
      <w:r>
        <w:rPr>
          <w:sz w:val="20"/>
          <w:szCs w:val="20"/>
        </w:rPr>
        <w:t>Rücklé</w:t>
      </w:r>
      <w:proofErr w:type="spellEnd"/>
      <w:r>
        <w:rPr>
          <w:sz w:val="20"/>
          <w:szCs w:val="20"/>
        </w:rPr>
        <w:t xml:space="preserve">, et al., “BEIR: A Heterogeneous Benchmark for Zero-Shot Evaluation of Information Retrieval Models,” </w:t>
      </w:r>
      <w:proofErr w:type="spellStart"/>
      <w:r>
        <w:rPr>
          <w:i/>
          <w:iCs/>
          <w:sz w:val="20"/>
          <w:szCs w:val="20"/>
        </w:rPr>
        <w:t>NeurIPS</w:t>
      </w:r>
      <w:proofErr w:type="spellEnd"/>
      <w:r>
        <w:rPr>
          <w:i/>
          <w:iCs/>
          <w:sz w:val="20"/>
          <w:szCs w:val="20"/>
        </w:rPr>
        <w:t xml:space="preserve"> Datasets and Benchmarks</w:t>
      </w:r>
      <w:r>
        <w:rPr>
          <w:sz w:val="20"/>
          <w:szCs w:val="20"/>
        </w:rPr>
        <w:t>, 2021.</w:t>
      </w:r>
    </w:p>
    <w:p w14:paraId="11BE6486" w14:textId="77777777" w:rsidR="00576BF7" w:rsidRDefault="00000000">
      <w:pPr>
        <w:keepLines/>
        <w:widowControl w:val="0"/>
        <w:numPr>
          <w:ilvl w:val="0"/>
          <w:numId w:val="4"/>
        </w:numPr>
        <w:rPr>
          <w:sz w:val="20"/>
          <w:szCs w:val="20"/>
        </w:rPr>
      </w:pPr>
      <w:r>
        <w:rPr>
          <w:sz w:val="20"/>
          <w:szCs w:val="20"/>
        </w:rPr>
        <w:t>O. Khattab and M. Zaharia, “</w:t>
      </w:r>
      <w:proofErr w:type="spellStart"/>
      <w:r>
        <w:rPr>
          <w:sz w:val="20"/>
          <w:szCs w:val="20"/>
        </w:rPr>
        <w:t>ColBERT</w:t>
      </w:r>
      <w:proofErr w:type="spellEnd"/>
      <w:r>
        <w:rPr>
          <w:sz w:val="20"/>
          <w:szCs w:val="20"/>
        </w:rPr>
        <w:t xml:space="preserve">: Efficient and Effective Passage Search via Contextualized Late Interaction over BERT,” </w:t>
      </w:r>
      <w:r>
        <w:rPr>
          <w:i/>
          <w:iCs/>
          <w:sz w:val="20"/>
          <w:szCs w:val="20"/>
        </w:rPr>
        <w:t>Proc. SIGIR</w:t>
      </w:r>
      <w:r>
        <w:rPr>
          <w:sz w:val="20"/>
          <w:szCs w:val="20"/>
        </w:rPr>
        <w:t>, 2020, pp. 39–48.</w:t>
      </w:r>
    </w:p>
    <w:p w14:paraId="502316C3" w14:textId="77777777" w:rsidR="00576BF7" w:rsidRDefault="00000000">
      <w:pPr>
        <w:keepLines/>
        <w:widowControl w:val="0"/>
        <w:numPr>
          <w:ilvl w:val="0"/>
          <w:numId w:val="4"/>
        </w:numPr>
        <w:rPr>
          <w:sz w:val="20"/>
          <w:szCs w:val="20"/>
        </w:rPr>
      </w:pPr>
      <w:r>
        <w:rPr>
          <w:sz w:val="20"/>
          <w:szCs w:val="20"/>
        </w:rPr>
        <w:t xml:space="preserve">OpenAI, “GPT-4 Technical Report,” </w:t>
      </w:r>
      <w:proofErr w:type="spellStart"/>
      <w:r>
        <w:rPr>
          <w:i/>
          <w:iCs/>
          <w:sz w:val="20"/>
          <w:szCs w:val="20"/>
        </w:rPr>
        <w:t>arXiv</w:t>
      </w:r>
      <w:proofErr w:type="spellEnd"/>
      <w:r>
        <w:rPr>
          <w:i/>
          <w:iCs/>
          <w:sz w:val="20"/>
          <w:szCs w:val="20"/>
        </w:rPr>
        <w:t xml:space="preserve"> preprint arXiv:2303.08774</w:t>
      </w:r>
      <w:r>
        <w:rPr>
          <w:sz w:val="20"/>
          <w:szCs w:val="20"/>
        </w:rPr>
        <w:t>, 2023.</w:t>
      </w:r>
    </w:p>
    <w:p w14:paraId="6D2D0583" w14:textId="77777777" w:rsidR="00576BF7" w:rsidRDefault="00000000">
      <w:pPr>
        <w:keepLines/>
        <w:widowControl w:val="0"/>
        <w:numPr>
          <w:ilvl w:val="0"/>
          <w:numId w:val="4"/>
        </w:numPr>
        <w:rPr>
          <w:sz w:val="20"/>
          <w:szCs w:val="20"/>
        </w:rPr>
      </w:pPr>
      <w:r>
        <w:rPr>
          <w:sz w:val="20"/>
          <w:szCs w:val="20"/>
        </w:rPr>
        <w:t xml:space="preserve">OpenAI, “Whisper: Robust Speech Recognition via Large-Scale Weak Supervision,” </w:t>
      </w:r>
      <w:r>
        <w:rPr>
          <w:i/>
          <w:iCs/>
          <w:sz w:val="20"/>
          <w:szCs w:val="20"/>
        </w:rPr>
        <w:t>Technical Report</w:t>
      </w:r>
      <w:r>
        <w:rPr>
          <w:sz w:val="20"/>
          <w:szCs w:val="20"/>
        </w:rPr>
        <w:t>, 2022.</w:t>
      </w:r>
    </w:p>
    <w:p w14:paraId="73396826" w14:textId="77777777" w:rsidR="00576BF7" w:rsidRDefault="00000000">
      <w:pPr>
        <w:keepLines/>
        <w:widowControl w:val="0"/>
        <w:numPr>
          <w:ilvl w:val="0"/>
          <w:numId w:val="4"/>
        </w:numPr>
        <w:rPr>
          <w:sz w:val="20"/>
          <w:szCs w:val="20"/>
        </w:rPr>
      </w:pPr>
      <w:r>
        <w:rPr>
          <w:sz w:val="20"/>
          <w:szCs w:val="20"/>
        </w:rPr>
        <w:t xml:space="preserve">P. Lewis, E. Perez, A. Piktus, et al., “Retrieval-Augmented Generation for Knowledge-Intensive NLP Tasks,” </w:t>
      </w:r>
      <w:proofErr w:type="spellStart"/>
      <w:r>
        <w:rPr>
          <w:i/>
          <w:iCs/>
          <w:sz w:val="20"/>
          <w:szCs w:val="20"/>
        </w:rPr>
        <w:t>NeurIPS</w:t>
      </w:r>
      <w:proofErr w:type="spellEnd"/>
      <w:r>
        <w:rPr>
          <w:i/>
          <w:iCs/>
          <w:sz w:val="20"/>
          <w:szCs w:val="20"/>
        </w:rPr>
        <w:t xml:space="preserve"> 33</w:t>
      </w:r>
      <w:r>
        <w:rPr>
          <w:sz w:val="20"/>
          <w:szCs w:val="20"/>
        </w:rPr>
        <w:t>, 2020, pp. 9459–9474.</w:t>
      </w:r>
    </w:p>
    <w:p w14:paraId="7C5D79DB" w14:textId="77777777" w:rsidR="00576BF7" w:rsidRDefault="00000000">
      <w:pPr>
        <w:keepLines/>
        <w:widowControl w:val="0"/>
        <w:numPr>
          <w:ilvl w:val="0"/>
          <w:numId w:val="4"/>
        </w:numPr>
        <w:rPr>
          <w:sz w:val="20"/>
          <w:szCs w:val="20"/>
        </w:rPr>
      </w:pPr>
      <w:r>
        <w:rPr>
          <w:sz w:val="20"/>
          <w:szCs w:val="20"/>
        </w:rPr>
        <w:t xml:space="preserve">P. Liu, W. Yuan, J. Fu, et al., “Pre-train, Prompt, and Predict: A Systematic Survey of Prompting Methods in NLP,” </w:t>
      </w:r>
      <w:r>
        <w:rPr>
          <w:i/>
          <w:iCs/>
          <w:sz w:val="20"/>
          <w:szCs w:val="20"/>
        </w:rPr>
        <w:t>ACM Computing Surveys</w:t>
      </w:r>
      <w:r>
        <w:rPr>
          <w:sz w:val="20"/>
          <w:szCs w:val="20"/>
        </w:rPr>
        <w:t>, vol. 55, no. 9, 2023.</w:t>
      </w:r>
    </w:p>
    <w:p w14:paraId="2918B0BC" w14:textId="77777777" w:rsidR="00576BF7" w:rsidRDefault="00000000">
      <w:pPr>
        <w:keepLines/>
        <w:widowControl w:val="0"/>
        <w:numPr>
          <w:ilvl w:val="0"/>
          <w:numId w:val="4"/>
        </w:numPr>
        <w:rPr>
          <w:sz w:val="20"/>
          <w:szCs w:val="20"/>
        </w:rPr>
      </w:pPr>
      <w:r>
        <w:rPr>
          <w:sz w:val="20"/>
          <w:szCs w:val="20"/>
        </w:rPr>
        <w:t>Pinecone, “Pinecone Vector Database Documentation,”</w:t>
      </w:r>
      <w:hyperlink r:id="rId21">
        <w:r>
          <w:rPr>
            <w:sz w:val="20"/>
            <w:szCs w:val="20"/>
          </w:rPr>
          <w:t xml:space="preserve"> </w:t>
        </w:r>
      </w:hyperlink>
      <w:hyperlink r:id="rId22">
        <w:r>
          <w:rPr>
            <w:i/>
            <w:iCs/>
            <w:color w:val="1155CC"/>
            <w:sz w:val="20"/>
            <w:szCs w:val="20"/>
            <w:u w:val="single"/>
          </w:rPr>
          <w:t>https://docs.pinecone.io/</w:t>
        </w:r>
      </w:hyperlink>
      <w:r>
        <w:rPr>
          <w:sz w:val="20"/>
          <w:szCs w:val="20"/>
        </w:rPr>
        <w:t>, 2024.</w:t>
      </w:r>
    </w:p>
    <w:p w14:paraId="3340DE9C" w14:textId="77777777" w:rsidR="00576BF7" w:rsidRDefault="00000000">
      <w:pPr>
        <w:keepLines/>
        <w:widowControl w:val="0"/>
        <w:numPr>
          <w:ilvl w:val="0"/>
          <w:numId w:val="4"/>
        </w:numPr>
        <w:rPr>
          <w:sz w:val="20"/>
          <w:szCs w:val="20"/>
        </w:rPr>
      </w:pPr>
      <w:r>
        <w:rPr>
          <w:sz w:val="20"/>
          <w:szCs w:val="20"/>
        </w:rPr>
        <w:t xml:space="preserve">Q. Liu, Y. Chen, Y. Huang, et al., “Towards Agentic RAG with Deep Reasoning: A Survey of RAG-Reasoning Systems in LLMs,” </w:t>
      </w:r>
      <w:proofErr w:type="spellStart"/>
      <w:r>
        <w:rPr>
          <w:i/>
          <w:iCs/>
          <w:sz w:val="20"/>
          <w:szCs w:val="20"/>
        </w:rPr>
        <w:t>arXiv</w:t>
      </w:r>
      <w:proofErr w:type="spellEnd"/>
      <w:r>
        <w:rPr>
          <w:i/>
          <w:iCs/>
          <w:sz w:val="20"/>
          <w:szCs w:val="20"/>
        </w:rPr>
        <w:t xml:space="preserve"> preprint arXiv:2507.xxxxx</w:t>
      </w:r>
      <w:r>
        <w:rPr>
          <w:sz w:val="20"/>
          <w:szCs w:val="20"/>
        </w:rPr>
        <w:t>, July 2025.</w:t>
      </w:r>
    </w:p>
    <w:p w14:paraId="5AA8D6FE" w14:textId="77777777" w:rsidR="00576BF7" w:rsidRDefault="00000000">
      <w:pPr>
        <w:keepLines/>
        <w:widowControl w:val="0"/>
        <w:numPr>
          <w:ilvl w:val="0"/>
          <w:numId w:val="4"/>
        </w:numPr>
        <w:rPr>
          <w:sz w:val="20"/>
          <w:szCs w:val="20"/>
        </w:rPr>
      </w:pPr>
      <w:proofErr w:type="spellStart"/>
      <w:r>
        <w:rPr>
          <w:sz w:val="20"/>
          <w:szCs w:val="20"/>
        </w:rPr>
        <w:t>Ragie</w:t>
      </w:r>
      <w:proofErr w:type="spellEnd"/>
      <w:r>
        <w:rPr>
          <w:sz w:val="20"/>
          <w:szCs w:val="20"/>
        </w:rPr>
        <w:t xml:space="preserve">, “Multimodal RAG: Native Audio and Video Support,” </w:t>
      </w:r>
      <w:r>
        <w:rPr>
          <w:i/>
          <w:iCs/>
          <w:sz w:val="20"/>
          <w:szCs w:val="20"/>
        </w:rPr>
        <w:t>Technical Documentation</w:t>
      </w:r>
      <w:r>
        <w:rPr>
          <w:sz w:val="20"/>
          <w:szCs w:val="20"/>
        </w:rPr>
        <w:t>,</w:t>
      </w:r>
      <w:hyperlink r:id="rId23">
        <w:r>
          <w:rPr>
            <w:sz w:val="20"/>
            <w:szCs w:val="20"/>
          </w:rPr>
          <w:t xml:space="preserve"> </w:t>
        </w:r>
      </w:hyperlink>
      <w:hyperlink r:id="rId24">
        <w:r>
          <w:rPr>
            <w:color w:val="1155CC"/>
            <w:sz w:val="20"/>
            <w:szCs w:val="20"/>
            <w:u w:val="single"/>
          </w:rPr>
          <w:t>https://docs.ragie.ai/multimodal-rag</w:t>
        </w:r>
      </w:hyperlink>
      <w:r>
        <w:rPr>
          <w:sz w:val="20"/>
          <w:szCs w:val="20"/>
        </w:rPr>
        <w:t>, 2024.</w:t>
      </w:r>
    </w:p>
    <w:p w14:paraId="1A4CC3B0" w14:textId="77777777" w:rsidR="00576BF7" w:rsidRDefault="00000000">
      <w:pPr>
        <w:keepLines/>
        <w:widowControl w:val="0"/>
        <w:numPr>
          <w:ilvl w:val="0"/>
          <w:numId w:val="4"/>
        </w:numPr>
        <w:rPr>
          <w:sz w:val="20"/>
          <w:szCs w:val="20"/>
        </w:rPr>
      </w:pPr>
      <w:r>
        <w:rPr>
          <w:sz w:val="20"/>
          <w:szCs w:val="20"/>
        </w:rPr>
        <w:t xml:space="preserve">R. </w:t>
      </w:r>
      <w:proofErr w:type="spellStart"/>
      <w:r>
        <w:rPr>
          <w:sz w:val="20"/>
          <w:szCs w:val="20"/>
        </w:rPr>
        <w:t>Bommasani</w:t>
      </w:r>
      <w:proofErr w:type="spellEnd"/>
      <w:r>
        <w:rPr>
          <w:sz w:val="20"/>
          <w:szCs w:val="20"/>
        </w:rPr>
        <w:t xml:space="preserve">, D. Hudson, E. Adeli, et al., “On the Opportunities and Risks of Foundation Models,” </w:t>
      </w:r>
      <w:proofErr w:type="spellStart"/>
      <w:r>
        <w:rPr>
          <w:i/>
          <w:iCs/>
          <w:sz w:val="20"/>
          <w:szCs w:val="20"/>
        </w:rPr>
        <w:t>arXiv</w:t>
      </w:r>
      <w:proofErr w:type="spellEnd"/>
      <w:r>
        <w:rPr>
          <w:i/>
          <w:iCs/>
          <w:sz w:val="20"/>
          <w:szCs w:val="20"/>
        </w:rPr>
        <w:t xml:space="preserve"> preprint arXiv:2108.07258</w:t>
      </w:r>
      <w:r>
        <w:rPr>
          <w:sz w:val="20"/>
          <w:szCs w:val="20"/>
        </w:rPr>
        <w:t>, 2021.</w:t>
      </w:r>
    </w:p>
    <w:p w14:paraId="0DFC029E" w14:textId="77777777" w:rsidR="00576BF7" w:rsidRDefault="00000000">
      <w:pPr>
        <w:keepLines/>
        <w:widowControl w:val="0"/>
        <w:numPr>
          <w:ilvl w:val="0"/>
          <w:numId w:val="4"/>
        </w:numPr>
        <w:rPr>
          <w:sz w:val="20"/>
          <w:szCs w:val="20"/>
        </w:rPr>
      </w:pPr>
      <w:r>
        <w:rPr>
          <w:sz w:val="20"/>
          <w:szCs w:val="20"/>
        </w:rPr>
        <w:t xml:space="preserve">R. Nogueira and K. Cho, “Passage Re-Ranking with BERT,” </w:t>
      </w:r>
      <w:proofErr w:type="spellStart"/>
      <w:r>
        <w:rPr>
          <w:i/>
          <w:iCs/>
          <w:sz w:val="20"/>
          <w:szCs w:val="20"/>
        </w:rPr>
        <w:t>arXiv</w:t>
      </w:r>
      <w:proofErr w:type="spellEnd"/>
      <w:r>
        <w:rPr>
          <w:i/>
          <w:iCs/>
          <w:sz w:val="20"/>
          <w:szCs w:val="20"/>
        </w:rPr>
        <w:t xml:space="preserve"> preprint arXiv:1901.04085</w:t>
      </w:r>
      <w:r>
        <w:rPr>
          <w:sz w:val="20"/>
          <w:szCs w:val="20"/>
        </w:rPr>
        <w:t>, 2019.</w:t>
      </w:r>
    </w:p>
    <w:p w14:paraId="17FD2C69" w14:textId="77777777" w:rsidR="00576BF7" w:rsidRDefault="00000000">
      <w:pPr>
        <w:keepLines/>
        <w:widowControl w:val="0"/>
        <w:numPr>
          <w:ilvl w:val="0"/>
          <w:numId w:val="4"/>
        </w:numPr>
        <w:rPr>
          <w:sz w:val="20"/>
          <w:szCs w:val="20"/>
        </w:rPr>
      </w:pPr>
      <w:r>
        <w:rPr>
          <w:sz w:val="20"/>
          <w:szCs w:val="20"/>
        </w:rPr>
        <w:t xml:space="preserve">S. Borgeaud, A. Mensch, J. Hoffmann, et al., “Improving Language Models by Retrieving from Trillions of Tokens,” </w:t>
      </w:r>
      <w:r>
        <w:rPr>
          <w:i/>
          <w:iCs/>
          <w:sz w:val="20"/>
          <w:szCs w:val="20"/>
        </w:rPr>
        <w:t>ICML</w:t>
      </w:r>
      <w:r>
        <w:rPr>
          <w:sz w:val="20"/>
          <w:szCs w:val="20"/>
        </w:rPr>
        <w:t>, PMLR, 2022, pp. 2206–2240.</w:t>
      </w:r>
    </w:p>
    <w:p w14:paraId="669D76C8" w14:textId="77777777" w:rsidR="00576BF7" w:rsidRDefault="00000000">
      <w:pPr>
        <w:keepLines/>
        <w:widowControl w:val="0"/>
        <w:numPr>
          <w:ilvl w:val="0"/>
          <w:numId w:val="4"/>
        </w:numPr>
        <w:rPr>
          <w:sz w:val="20"/>
          <w:szCs w:val="20"/>
        </w:rPr>
      </w:pPr>
      <w:r>
        <w:rPr>
          <w:sz w:val="20"/>
          <w:szCs w:val="20"/>
        </w:rPr>
        <w:t xml:space="preserve">S. Es, J. James, L. Espinosa-Anke, and S. Schockaert, “RAGAS: Automated Evaluation of Retrieval-Augmented Generation,” </w:t>
      </w:r>
      <w:r>
        <w:rPr>
          <w:i/>
          <w:iCs/>
          <w:sz w:val="20"/>
          <w:szCs w:val="20"/>
        </w:rPr>
        <w:t>Proc. EMNLP System Demonstrations</w:t>
      </w:r>
      <w:r>
        <w:rPr>
          <w:sz w:val="20"/>
          <w:szCs w:val="20"/>
        </w:rPr>
        <w:t>, 2024.</w:t>
      </w:r>
    </w:p>
    <w:p w14:paraId="41E2D12A" w14:textId="77777777" w:rsidR="00576BF7" w:rsidRDefault="00000000">
      <w:pPr>
        <w:keepLines/>
        <w:widowControl w:val="0"/>
        <w:numPr>
          <w:ilvl w:val="0"/>
          <w:numId w:val="4"/>
        </w:numPr>
        <w:rPr>
          <w:sz w:val="20"/>
          <w:szCs w:val="20"/>
        </w:rPr>
      </w:pPr>
      <w:r>
        <w:rPr>
          <w:sz w:val="20"/>
          <w:szCs w:val="20"/>
        </w:rPr>
        <w:t xml:space="preserve">S. Gehman, S. </w:t>
      </w:r>
      <w:proofErr w:type="spellStart"/>
      <w:r>
        <w:rPr>
          <w:sz w:val="20"/>
          <w:szCs w:val="20"/>
        </w:rPr>
        <w:t>Gururangan</w:t>
      </w:r>
      <w:proofErr w:type="spellEnd"/>
      <w:r>
        <w:rPr>
          <w:sz w:val="20"/>
          <w:szCs w:val="20"/>
        </w:rPr>
        <w:t>, M. Sap, Y. Choi, and N. Smith, “</w:t>
      </w:r>
      <w:proofErr w:type="spellStart"/>
      <w:r>
        <w:rPr>
          <w:sz w:val="20"/>
          <w:szCs w:val="20"/>
        </w:rPr>
        <w:t>RealToxicityPrompts</w:t>
      </w:r>
      <w:proofErr w:type="spellEnd"/>
      <w:r>
        <w:rPr>
          <w:sz w:val="20"/>
          <w:szCs w:val="20"/>
        </w:rPr>
        <w:t xml:space="preserve">: Evaluating Neural Toxic Degeneration in Language Models,” </w:t>
      </w:r>
      <w:r>
        <w:rPr>
          <w:i/>
          <w:iCs/>
          <w:sz w:val="20"/>
          <w:szCs w:val="20"/>
        </w:rPr>
        <w:t>EMNLP Findings</w:t>
      </w:r>
      <w:r>
        <w:rPr>
          <w:sz w:val="20"/>
          <w:szCs w:val="20"/>
        </w:rPr>
        <w:t>, 2020, pp. 3356–3369.</w:t>
      </w:r>
    </w:p>
    <w:p w14:paraId="357F116C" w14:textId="77777777" w:rsidR="00576BF7" w:rsidRDefault="00000000">
      <w:pPr>
        <w:keepLines/>
        <w:widowControl w:val="0"/>
        <w:numPr>
          <w:ilvl w:val="0"/>
          <w:numId w:val="4"/>
        </w:numPr>
        <w:rPr>
          <w:sz w:val="20"/>
          <w:szCs w:val="20"/>
        </w:rPr>
      </w:pPr>
      <w:r>
        <w:rPr>
          <w:sz w:val="20"/>
          <w:szCs w:val="20"/>
        </w:rPr>
        <w:t xml:space="preserve">S. Lazaridou, E. </w:t>
      </w:r>
      <w:proofErr w:type="spellStart"/>
      <w:r>
        <w:rPr>
          <w:sz w:val="20"/>
          <w:szCs w:val="20"/>
        </w:rPr>
        <w:t>Gribovskaya</w:t>
      </w:r>
      <w:proofErr w:type="spellEnd"/>
      <w:r>
        <w:rPr>
          <w:sz w:val="20"/>
          <w:szCs w:val="20"/>
        </w:rPr>
        <w:t xml:space="preserve">, W. </w:t>
      </w:r>
      <w:proofErr w:type="spellStart"/>
      <w:r>
        <w:rPr>
          <w:sz w:val="20"/>
          <w:szCs w:val="20"/>
        </w:rPr>
        <w:t>Stokowiec</w:t>
      </w:r>
      <w:proofErr w:type="spellEnd"/>
      <w:r>
        <w:rPr>
          <w:sz w:val="20"/>
          <w:szCs w:val="20"/>
        </w:rPr>
        <w:t xml:space="preserve">, and N. Grigorev, “Internet-Augmented Language Models through Few-Shot Prompting,” </w:t>
      </w:r>
      <w:proofErr w:type="spellStart"/>
      <w:r>
        <w:rPr>
          <w:i/>
          <w:iCs/>
          <w:sz w:val="20"/>
          <w:szCs w:val="20"/>
        </w:rPr>
        <w:t>arXiv</w:t>
      </w:r>
      <w:proofErr w:type="spellEnd"/>
      <w:r>
        <w:rPr>
          <w:i/>
          <w:iCs/>
          <w:sz w:val="20"/>
          <w:szCs w:val="20"/>
        </w:rPr>
        <w:t xml:space="preserve"> preprint arXiv:2203.05115</w:t>
      </w:r>
      <w:r>
        <w:rPr>
          <w:sz w:val="20"/>
          <w:szCs w:val="20"/>
        </w:rPr>
        <w:t>, 2022.</w:t>
      </w:r>
    </w:p>
    <w:p w14:paraId="66CC3BEA" w14:textId="77777777" w:rsidR="00576BF7" w:rsidRDefault="00000000">
      <w:pPr>
        <w:keepLines/>
        <w:widowControl w:val="0"/>
        <w:numPr>
          <w:ilvl w:val="0"/>
          <w:numId w:val="4"/>
        </w:numPr>
        <w:rPr>
          <w:sz w:val="20"/>
          <w:szCs w:val="20"/>
        </w:rPr>
      </w:pPr>
      <w:r>
        <w:rPr>
          <w:sz w:val="20"/>
          <w:szCs w:val="20"/>
        </w:rPr>
        <w:t xml:space="preserve">S. Longpre, L. Hou, T. Vu, et al., “The Flan Collection: Designing Data and Methods for Effective Instruction Tuning,” </w:t>
      </w:r>
      <w:r>
        <w:rPr>
          <w:i/>
          <w:iCs/>
          <w:sz w:val="20"/>
          <w:szCs w:val="20"/>
        </w:rPr>
        <w:t>ICML</w:t>
      </w:r>
      <w:r>
        <w:rPr>
          <w:sz w:val="20"/>
          <w:szCs w:val="20"/>
        </w:rPr>
        <w:t>, PMLR, 2023.</w:t>
      </w:r>
    </w:p>
    <w:p w14:paraId="44237E7D" w14:textId="77777777" w:rsidR="00576BF7" w:rsidRDefault="00000000">
      <w:pPr>
        <w:keepLines/>
        <w:widowControl w:val="0"/>
        <w:numPr>
          <w:ilvl w:val="0"/>
          <w:numId w:val="4"/>
        </w:numPr>
        <w:rPr>
          <w:sz w:val="20"/>
          <w:szCs w:val="20"/>
        </w:rPr>
      </w:pPr>
      <w:r>
        <w:rPr>
          <w:sz w:val="20"/>
          <w:szCs w:val="20"/>
        </w:rPr>
        <w:t xml:space="preserve">S. Pan, L. Luo, Y. Wang, et al., “Unifying Large Language Models and Knowledge Graphs: A Roadmap,” </w:t>
      </w:r>
      <w:r>
        <w:rPr>
          <w:i/>
          <w:iCs/>
          <w:sz w:val="20"/>
          <w:szCs w:val="20"/>
        </w:rPr>
        <w:t>IEEE TKDE</w:t>
      </w:r>
      <w:r>
        <w:rPr>
          <w:sz w:val="20"/>
          <w:szCs w:val="20"/>
        </w:rPr>
        <w:t>, vol. 36, no. 7, pp. 3580–3599, 2024.</w:t>
      </w:r>
    </w:p>
    <w:p w14:paraId="20B84C44" w14:textId="77777777" w:rsidR="00576BF7" w:rsidRDefault="00000000">
      <w:pPr>
        <w:keepLines/>
        <w:widowControl w:val="0"/>
        <w:numPr>
          <w:ilvl w:val="0"/>
          <w:numId w:val="4"/>
        </w:numPr>
        <w:rPr>
          <w:sz w:val="20"/>
          <w:szCs w:val="20"/>
        </w:rPr>
      </w:pPr>
      <w:r>
        <w:rPr>
          <w:sz w:val="20"/>
          <w:szCs w:val="20"/>
        </w:rPr>
        <w:t xml:space="preserve">S. Ravi, A. Kumar, and V. Singh, “Multimodal RAG: A Comprehensive Survey,” </w:t>
      </w:r>
      <w:proofErr w:type="spellStart"/>
      <w:r>
        <w:rPr>
          <w:i/>
          <w:iCs/>
          <w:sz w:val="20"/>
          <w:szCs w:val="20"/>
        </w:rPr>
        <w:t>arXiv</w:t>
      </w:r>
      <w:proofErr w:type="spellEnd"/>
      <w:r>
        <w:rPr>
          <w:i/>
          <w:iCs/>
          <w:sz w:val="20"/>
          <w:szCs w:val="20"/>
        </w:rPr>
        <w:t xml:space="preserve"> preprint arXiv:2410.xxxxx</w:t>
      </w:r>
      <w:r>
        <w:rPr>
          <w:sz w:val="20"/>
          <w:szCs w:val="20"/>
        </w:rPr>
        <w:t>, 2024.</w:t>
      </w:r>
    </w:p>
    <w:p w14:paraId="595291C9" w14:textId="77777777" w:rsidR="00576BF7" w:rsidRDefault="00000000">
      <w:pPr>
        <w:keepLines/>
        <w:widowControl w:val="0"/>
        <w:numPr>
          <w:ilvl w:val="0"/>
          <w:numId w:val="4"/>
        </w:numPr>
        <w:rPr>
          <w:sz w:val="20"/>
          <w:szCs w:val="20"/>
        </w:rPr>
      </w:pPr>
      <w:r>
        <w:rPr>
          <w:sz w:val="20"/>
          <w:szCs w:val="20"/>
        </w:rPr>
        <w:t>S. Yao, J. Zhao, D. Yu, et al., “</w:t>
      </w:r>
      <w:proofErr w:type="spellStart"/>
      <w:r>
        <w:rPr>
          <w:sz w:val="20"/>
          <w:szCs w:val="20"/>
        </w:rPr>
        <w:t>ReAct</w:t>
      </w:r>
      <w:proofErr w:type="spellEnd"/>
      <w:r>
        <w:rPr>
          <w:sz w:val="20"/>
          <w:szCs w:val="20"/>
        </w:rPr>
        <w:t xml:space="preserve">: Synergizing Reasoning and Acting in Language Models,” </w:t>
      </w:r>
      <w:r>
        <w:rPr>
          <w:i/>
          <w:iCs/>
          <w:sz w:val="20"/>
          <w:szCs w:val="20"/>
        </w:rPr>
        <w:t>ICLR 2023</w:t>
      </w:r>
      <w:r>
        <w:rPr>
          <w:sz w:val="20"/>
          <w:szCs w:val="20"/>
        </w:rPr>
        <w:t>.</w:t>
      </w:r>
    </w:p>
    <w:p w14:paraId="4FAFB7FE" w14:textId="77777777" w:rsidR="00576BF7" w:rsidRDefault="00000000">
      <w:pPr>
        <w:keepLines/>
        <w:widowControl w:val="0"/>
        <w:numPr>
          <w:ilvl w:val="0"/>
          <w:numId w:val="4"/>
        </w:numPr>
        <w:rPr>
          <w:sz w:val="20"/>
          <w:szCs w:val="20"/>
        </w:rPr>
      </w:pPr>
      <w:r>
        <w:rPr>
          <w:sz w:val="20"/>
          <w:szCs w:val="20"/>
        </w:rPr>
        <w:t xml:space="preserve">T. Brown, B. Mann, N. Ryder, et al., “Language Models Are Few-Shot Learners,” </w:t>
      </w:r>
      <w:proofErr w:type="spellStart"/>
      <w:r>
        <w:rPr>
          <w:i/>
          <w:iCs/>
          <w:sz w:val="20"/>
          <w:szCs w:val="20"/>
        </w:rPr>
        <w:t>NeurIPS</w:t>
      </w:r>
      <w:proofErr w:type="spellEnd"/>
      <w:r>
        <w:rPr>
          <w:i/>
          <w:iCs/>
          <w:sz w:val="20"/>
          <w:szCs w:val="20"/>
        </w:rPr>
        <w:t xml:space="preserve"> 33</w:t>
      </w:r>
      <w:r>
        <w:rPr>
          <w:sz w:val="20"/>
          <w:szCs w:val="20"/>
        </w:rPr>
        <w:t>, 2020, pp. 1877–1901.</w:t>
      </w:r>
    </w:p>
    <w:p w14:paraId="23325B4D" w14:textId="77777777" w:rsidR="00576BF7" w:rsidRDefault="00000000">
      <w:pPr>
        <w:keepLines/>
        <w:widowControl w:val="0"/>
        <w:numPr>
          <w:ilvl w:val="0"/>
          <w:numId w:val="4"/>
        </w:numPr>
        <w:rPr>
          <w:sz w:val="20"/>
          <w:szCs w:val="20"/>
        </w:rPr>
      </w:pPr>
      <w:r>
        <w:rPr>
          <w:sz w:val="20"/>
          <w:szCs w:val="20"/>
        </w:rPr>
        <w:t xml:space="preserve">T. Khot, H. Trivedi, M. Finlayson, et al., “Decomposed Prompting: A Modular Approach for Solving Complex Tasks,” </w:t>
      </w:r>
      <w:r>
        <w:rPr>
          <w:i/>
          <w:iCs/>
          <w:sz w:val="20"/>
          <w:szCs w:val="20"/>
        </w:rPr>
        <w:t>ICLR 2023</w:t>
      </w:r>
      <w:r>
        <w:rPr>
          <w:sz w:val="20"/>
          <w:szCs w:val="20"/>
        </w:rPr>
        <w:t>.</w:t>
      </w:r>
    </w:p>
    <w:p w14:paraId="5DE54C26" w14:textId="77777777" w:rsidR="00576BF7" w:rsidRDefault="00000000">
      <w:pPr>
        <w:keepLines/>
        <w:widowControl w:val="0"/>
        <w:numPr>
          <w:ilvl w:val="0"/>
          <w:numId w:val="4"/>
        </w:numPr>
        <w:rPr>
          <w:sz w:val="20"/>
          <w:szCs w:val="20"/>
        </w:rPr>
      </w:pPr>
      <w:r>
        <w:rPr>
          <w:sz w:val="20"/>
          <w:szCs w:val="20"/>
        </w:rPr>
        <w:t>T. Liu, Y. Yang, S. Wang, et al., “</w:t>
      </w:r>
      <w:proofErr w:type="spellStart"/>
      <w:r>
        <w:rPr>
          <w:sz w:val="20"/>
          <w:szCs w:val="20"/>
        </w:rPr>
        <w:t>NodeRAG</w:t>
      </w:r>
      <w:proofErr w:type="spellEnd"/>
      <w:r>
        <w:rPr>
          <w:sz w:val="20"/>
          <w:szCs w:val="20"/>
        </w:rPr>
        <w:t xml:space="preserve">: Structuring Graph-based RAG with Heterogeneous Nodes,” </w:t>
      </w:r>
      <w:proofErr w:type="spellStart"/>
      <w:r>
        <w:rPr>
          <w:i/>
          <w:iCs/>
          <w:sz w:val="20"/>
          <w:szCs w:val="20"/>
        </w:rPr>
        <w:t>arXiv</w:t>
      </w:r>
      <w:proofErr w:type="spellEnd"/>
      <w:r>
        <w:rPr>
          <w:i/>
          <w:iCs/>
          <w:sz w:val="20"/>
          <w:szCs w:val="20"/>
        </w:rPr>
        <w:t xml:space="preserve"> preprint arXiv:2504.xxxxx</w:t>
      </w:r>
      <w:r>
        <w:rPr>
          <w:sz w:val="20"/>
          <w:szCs w:val="20"/>
        </w:rPr>
        <w:t>, April 2025.</w:t>
      </w:r>
    </w:p>
    <w:p w14:paraId="40A729F7" w14:textId="77777777" w:rsidR="00576BF7" w:rsidRDefault="00000000">
      <w:pPr>
        <w:keepLines/>
        <w:widowControl w:val="0"/>
        <w:numPr>
          <w:ilvl w:val="0"/>
          <w:numId w:val="4"/>
        </w:numPr>
        <w:rPr>
          <w:sz w:val="20"/>
          <w:szCs w:val="20"/>
        </w:rPr>
      </w:pPr>
      <w:r>
        <w:rPr>
          <w:sz w:val="20"/>
          <w:szCs w:val="20"/>
        </w:rPr>
        <w:t xml:space="preserve">T. Nguyen, M. Rosenberg, X. Song, et al., “MS MARCO: A Human Generated Machine Reading Comprehension Dataset,” </w:t>
      </w:r>
      <w:proofErr w:type="spellStart"/>
      <w:r>
        <w:rPr>
          <w:i/>
          <w:iCs/>
          <w:sz w:val="20"/>
          <w:szCs w:val="20"/>
        </w:rPr>
        <w:t>CoCo@NIPS</w:t>
      </w:r>
      <w:proofErr w:type="spellEnd"/>
      <w:r>
        <w:rPr>
          <w:sz w:val="20"/>
          <w:szCs w:val="20"/>
        </w:rPr>
        <w:t>, 2016.</w:t>
      </w:r>
    </w:p>
    <w:p w14:paraId="6801D29A" w14:textId="77777777" w:rsidR="00576BF7" w:rsidRDefault="00000000">
      <w:pPr>
        <w:keepLines/>
        <w:widowControl w:val="0"/>
        <w:numPr>
          <w:ilvl w:val="0"/>
          <w:numId w:val="4"/>
        </w:numPr>
        <w:rPr>
          <w:sz w:val="20"/>
          <w:szCs w:val="20"/>
        </w:rPr>
      </w:pPr>
      <w:r>
        <w:rPr>
          <w:sz w:val="20"/>
          <w:szCs w:val="20"/>
        </w:rPr>
        <w:t xml:space="preserve">T. Schick, J. Dwivedi-Yu, R. </w:t>
      </w:r>
      <w:proofErr w:type="spellStart"/>
      <w:r>
        <w:rPr>
          <w:sz w:val="20"/>
          <w:szCs w:val="20"/>
        </w:rPr>
        <w:t>Dessì</w:t>
      </w:r>
      <w:proofErr w:type="spellEnd"/>
      <w:r>
        <w:rPr>
          <w:sz w:val="20"/>
          <w:szCs w:val="20"/>
        </w:rPr>
        <w:t>, et al., “</w:t>
      </w:r>
      <w:proofErr w:type="spellStart"/>
      <w:r>
        <w:rPr>
          <w:sz w:val="20"/>
          <w:szCs w:val="20"/>
        </w:rPr>
        <w:t>Toolformer</w:t>
      </w:r>
      <w:proofErr w:type="spellEnd"/>
      <w:r>
        <w:rPr>
          <w:sz w:val="20"/>
          <w:szCs w:val="20"/>
        </w:rPr>
        <w:t xml:space="preserve">: Language Models Can Teach Themselves to Use Tools,” </w:t>
      </w:r>
      <w:proofErr w:type="spellStart"/>
      <w:r>
        <w:rPr>
          <w:i/>
          <w:iCs/>
          <w:sz w:val="20"/>
          <w:szCs w:val="20"/>
        </w:rPr>
        <w:t>NeurIPS</w:t>
      </w:r>
      <w:proofErr w:type="spellEnd"/>
      <w:r>
        <w:rPr>
          <w:i/>
          <w:iCs/>
          <w:sz w:val="20"/>
          <w:szCs w:val="20"/>
        </w:rPr>
        <w:t xml:space="preserve"> 36</w:t>
      </w:r>
      <w:r>
        <w:rPr>
          <w:sz w:val="20"/>
          <w:szCs w:val="20"/>
        </w:rPr>
        <w:t>, 2023.</w:t>
      </w:r>
      <w:r>
        <w:rPr>
          <w:sz w:val="20"/>
          <w:szCs w:val="20"/>
        </w:rPr>
        <w:br/>
      </w:r>
    </w:p>
    <w:p w14:paraId="28F95109" w14:textId="77777777" w:rsidR="00576BF7" w:rsidRDefault="00000000">
      <w:pPr>
        <w:keepLines/>
        <w:widowControl w:val="0"/>
        <w:numPr>
          <w:ilvl w:val="0"/>
          <w:numId w:val="4"/>
        </w:numPr>
        <w:rPr>
          <w:sz w:val="20"/>
          <w:szCs w:val="20"/>
        </w:rPr>
      </w:pPr>
      <w:r>
        <w:rPr>
          <w:sz w:val="20"/>
          <w:szCs w:val="20"/>
        </w:rPr>
        <w:t xml:space="preserve">V. </w:t>
      </w:r>
      <w:proofErr w:type="spellStart"/>
      <w:r>
        <w:rPr>
          <w:sz w:val="20"/>
          <w:szCs w:val="20"/>
        </w:rPr>
        <w:t>Karpukhin</w:t>
      </w:r>
      <w:proofErr w:type="spellEnd"/>
      <w:r>
        <w:rPr>
          <w:sz w:val="20"/>
          <w:szCs w:val="20"/>
        </w:rPr>
        <w:t xml:space="preserve">, B. Oğuz, S. Min, et al., “Dense Passage Retrieval for Open-Domain Question Answering,” </w:t>
      </w:r>
      <w:r>
        <w:rPr>
          <w:i/>
          <w:iCs/>
          <w:sz w:val="20"/>
          <w:szCs w:val="20"/>
        </w:rPr>
        <w:t>EMNLP 2020</w:t>
      </w:r>
      <w:r>
        <w:rPr>
          <w:sz w:val="20"/>
          <w:szCs w:val="20"/>
        </w:rPr>
        <w:t>, pp. 6769–6781.</w:t>
      </w:r>
    </w:p>
    <w:p w14:paraId="7FA6A01B" w14:textId="77777777" w:rsidR="00576BF7" w:rsidRDefault="00000000">
      <w:pPr>
        <w:keepLines/>
        <w:widowControl w:val="0"/>
        <w:numPr>
          <w:ilvl w:val="0"/>
          <w:numId w:val="4"/>
        </w:numPr>
        <w:rPr>
          <w:sz w:val="20"/>
          <w:szCs w:val="20"/>
        </w:rPr>
      </w:pPr>
      <w:r>
        <w:rPr>
          <w:sz w:val="20"/>
          <w:szCs w:val="20"/>
        </w:rPr>
        <w:t xml:space="preserve">W. Shi, S. Min, M. Yasunaga, et al., “REPLUG: Retrieval-Augmented Black-Box Language Models,” </w:t>
      </w:r>
      <w:r>
        <w:rPr>
          <w:i/>
          <w:iCs/>
          <w:sz w:val="20"/>
          <w:szCs w:val="20"/>
        </w:rPr>
        <w:t>NAACL 2024</w:t>
      </w:r>
      <w:r>
        <w:rPr>
          <w:sz w:val="20"/>
          <w:szCs w:val="20"/>
        </w:rPr>
        <w:t>, pp. 4238–4259.</w:t>
      </w:r>
    </w:p>
    <w:p w14:paraId="365923D8" w14:textId="77777777" w:rsidR="00576BF7" w:rsidRDefault="00000000">
      <w:pPr>
        <w:keepLines/>
        <w:widowControl w:val="0"/>
        <w:numPr>
          <w:ilvl w:val="0"/>
          <w:numId w:val="4"/>
        </w:numPr>
        <w:rPr>
          <w:sz w:val="20"/>
          <w:szCs w:val="20"/>
        </w:rPr>
      </w:pPr>
      <w:r>
        <w:rPr>
          <w:sz w:val="20"/>
          <w:szCs w:val="20"/>
        </w:rPr>
        <w:t xml:space="preserve">W. X. Zhao, K. Zhou, J. Li, et al., “A Survey of Large Language Models,” </w:t>
      </w:r>
      <w:proofErr w:type="spellStart"/>
      <w:r>
        <w:rPr>
          <w:i/>
          <w:iCs/>
          <w:sz w:val="20"/>
          <w:szCs w:val="20"/>
        </w:rPr>
        <w:t>arXiv</w:t>
      </w:r>
      <w:proofErr w:type="spellEnd"/>
      <w:r>
        <w:rPr>
          <w:i/>
          <w:iCs/>
          <w:sz w:val="20"/>
          <w:szCs w:val="20"/>
        </w:rPr>
        <w:t xml:space="preserve"> preprint arXiv:2303.18223</w:t>
      </w:r>
      <w:r>
        <w:rPr>
          <w:sz w:val="20"/>
          <w:szCs w:val="20"/>
        </w:rPr>
        <w:t>, 2023.</w:t>
      </w:r>
    </w:p>
    <w:p w14:paraId="14C0EF03" w14:textId="77777777" w:rsidR="00576BF7" w:rsidRDefault="00000000">
      <w:pPr>
        <w:keepLines/>
        <w:widowControl w:val="0"/>
        <w:numPr>
          <w:ilvl w:val="0"/>
          <w:numId w:val="4"/>
        </w:numPr>
        <w:rPr>
          <w:sz w:val="20"/>
          <w:szCs w:val="20"/>
        </w:rPr>
      </w:pPr>
      <w:proofErr w:type="spellStart"/>
      <w:r>
        <w:rPr>
          <w:sz w:val="20"/>
          <w:szCs w:val="20"/>
        </w:rPr>
        <w:t>Weaviate</w:t>
      </w:r>
      <w:proofErr w:type="spellEnd"/>
      <w:r>
        <w:rPr>
          <w:sz w:val="20"/>
          <w:szCs w:val="20"/>
        </w:rPr>
        <w:t>, “</w:t>
      </w:r>
      <w:proofErr w:type="spellStart"/>
      <w:r>
        <w:rPr>
          <w:sz w:val="20"/>
          <w:szCs w:val="20"/>
        </w:rPr>
        <w:t>Weaviate</w:t>
      </w:r>
      <w:proofErr w:type="spellEnd"/>
      <w:r>
        <w:rPr>
          <w:sz w:val="20"/>
          <w:szCs w:val="20"/>
        </w:rPr>
        <w:t xml:space="preserve"> Vector Database Documentation,”</w:t>
      </w:r>
      <w:hyperlink r:id="rId25">
        <w:r>
          <w:rPr>
            <w:sz w:val="20"/>
            <w:szCs w:val="20"/>
          </w:rPr>
          <w:t xml:space="preserve"> </w:t>
        </w:r>
      </w:hyperlink>
      <w:hyperlink r:id="rId26">
        <w:r>
          <w:rPr>
            <w:i/>
            <w:iCs/>
            <w:color w:val="1155CC"/>
            <w:sz w:val="20"/>
            <w:szCs w:val="20"/>
            <w:u w:val="single"/>
          </w:rPr>
          <w:t>https://weaviate.io/developers/weaviate</w:t>
        </w:r>
      </w:hyperlink>
      <w:r>
        <w:rPr>
          <w:sz w:val="20"/>
          <w:szCs w:val="20"/>
        </w:rPr>
        <w:t>, 2024.</w:t>
      </w:r>
    </w:p>
    <w:p w14:paraId="489DFBE3" w14:textId="77777777" w:rsidR="00576BF7" w:rsidRDefault="00000000">
      <w:pPr>
        <w:keepLines/>
        <w:widowControl w:val="0"/>
        <w:numPr>
          <w:ilvl w:val="0"/>
          <w:numId w:val="4"/>
        </w:numPr>
        <w:rPr>
          <w:sz w:val="20"/>
          <w:szCs w:val="20"/>
        </w:rPr>
      </w:pPr>
      <w:r>
        <w:rPr>
          <w:sz w:val="20"/>
          <w:szCs w:val="20"/>
        </w:rPr>
        <w:t xml:space="preserve">Y. Chen, Z. Zhang, C. Yuan, et al., “Multi-RAG: Multi-Modal Retrieval-Augmented Generation,” </w:t>
      </w:r>
      <w:proofErr w:type="spellStart"/>
      <w:r>
        <w:rPr>
          <w:i/>
          <w:iCs/>
          <w:sz w:val="20"/>
          <w:szCs w:val="20"/>
        </w:rPr>
        <w:t>arXiv</w:t>
      </w:r>
      <w:proofErr w:type="spellEnd"/>
      <w:r>
        <w:rPr>
          <w:i/>
          <w:iCs/>
          <w:sz w:val="20"/>
          <w:szCs w:val="20"/>
        </w:rPr>
        <w:t xml:space="preserve"> preprint arXiv:2501.xxxxx</w:t>
      </w:r>
      <w:r>
        <w:rPr>
          <w:sz w:val="20"/>
          <w:szCs w:val="20"/>
        </w:rPr>
        <w:t>, 2025.</w:t>
      </w:r>
    </w:p>
    <w:p w14:paraId="6FD51D56" w14:textId="77777777" w:rsidR="00576BF7" w:rsidRDefault="00000000">
      <w:pPr>
        <w:keepLines/>
        <w:widowControl w:val="0"/>
        <w:numPr>
          <w:ilvl w:val="0"/>
          <w:numId w:val="4"/>
        </w:numPr>
        <w:rPr>
          <w:sz w:val="20"/>
          <w:szCs w:val="20"/>
        </w:rPr>
      </w:pPr>
      <w:r>
        <w:rPr>
          <w:sz w:val="20"/>
          <w:szCs w:val="20"/>
        </w:rPr>
        <w:t xml:space="preserve">Y. Gao, Y. Xiong, X. Gao, et al., “Retrieval-Augmented Generation for Large Language Models: A Survey,” </w:t>
      </w:r>
      <w:proofErr w:type="spellStart"/>
      <w:r>
        <w:rPr>
          <w:i/>
          <w:iCs/>
          <w:sz w:val="20"/>
          <w:szCs w:val="20"/>
        </w:rPr>
        <w:t>arXiv</w:t>
      </w:r>
      <w:proofErr w:type="spellEnd"/>
      <w:r>
        <w:rPr>
          <w:i/>
          <w:iCs/>
          <w:sz w:val="20"/>
          <w:szCs w:val="20"/>
        </w:rPr>
        <w:t xml:space="preserve"> preprint arXiv:2312.10997</w:t>
      </w:r>
      <w:r>
        <w:rPr>
          <w:sz w:val="20"/>
          <w:szCs w:val="20"/>
        </w:rPr>
        <w:t>, 2023.</w:t>
      </w:r>
    </w:p>
    <w:p w14:paraId="5DD35F55" w14:textId="77777777" w:rsidR="00576BF7" w:rsidRDefault="00000000">
      <w:pPr>
        <w:keepLines/>
        <w:widowControl w:val="0"/>
        <w:numPr>
          <w:ilvl w:val="0"/>
          <w:numId w:val="4"/>
        </w:numPr>
        <w:rPr>
          <w:sz w:val="20"/>
          <w:szCs w:val="20"/>
        </w:rPr>
      </w:pPr>
      <w:r>
        <w:rPr>
          <w:sz w:val="20"/>
          <w:szCs w:val="20"/>
        </w:rPr>
        <w:t xml:space="preserve">Y. Luo, Z. Yang, F. Meng, et al., “An Empirical Study of Catastrophic Forgetting in LLMs During Continual Fine-Tuning,” </w:t>
      </w:r>
      <w:proofErr w:type="spellStart"/>
      <w:r>
        <w:rPr>
          <w:i/>
          <w:iCs/>
          <w:sz w:val="20"/>
          <w:szCs w:val="20"/>
        </w:rPr>
        <w:t>arXiv</w:t>
      </w:r>
      <w:proofErr w:type="spellEnd"/>
      <w:r>
        <w:rPr>
          <w:i/>
          <w:iCs/>
          <w:sz w:val="20"/>
          <w:szCs w:val="20"/>
        </w:rPr>
        <w:t xml:space="preserve"> preprint arXiv:2308.08747</w:t>
      </w:r>
      <w:r>
        <w:rPr>
          <w:sz w:val="20"/>
          <w:szCs w:val="20"/>
        </w:rPr>
        <w:t>, 2023.</w:t>
      </w:r>
    </w:p>
    <w:p w14:paraId="10FD19B9" w14:textId="77777777" w:rsidR="00576BF7" w:rsidRDefault="00000000">
      <w:pPr>
        <w:keepLines/>
        <w:widowControl w:val="0"/>
        <w:numPr>
          <w:ilvl w:val="0"/>
          <w:numId w:val="4"/>
        </w:numPr>
        <w:rPr>
          <w:sz w:val="20"/>
          <w:szCs w:val="20"/>
        </w:rPr>
      </w:pPr>
      <w:r>
        <w:rPr>
          <w:sz w:val="20"/>
          <w:szCs w:val="20"/>
        </w:rPr>
        <w:t xml:space="preserve">Y. Sun, S. Zheng, H. Chen, et al., “Benchmarking Large Language Models in Retrieval-Augmented Generation,” </w:t>
      </w:r>
      <w:r>
        <w:rPr>
          <w:i/>
          <w:iCs/>
          <w:sz w:val="20"/>
          <w:szCs w:val="20"/>
        </w:rPr>
        <w:t>Proc. AAAI 2024</w:t>
      </w:r>
      <w:r>
        <w:rPr>
          <w:sz w:val="20"/>
          <w:szCs w:val="20"/>
        </w:rPr>
        <w:t>, vol. 38, no. 17, pp. 19096–19104.</w:t>
      </w:r>
    </w:p>
    <w:p w14:paraId="58D07984" w14:textId="77777777" w:rsidR="00576BF7" w:rsidRDefault="00000000">
      <w:pPr>
        <w:keepLines/>
        <w:widowControl w:val="0"/>
        <w:numPr>
          <w:ilvl w:val="0"/>
          <w:numId w:val="4"/>
        </w:numPr>
        <w:rPr>
          <w:sz w:val="20"/>
          <w:szCs w:val="20"/>
        </w:rPr>
      </w:pPr>
      <w:r>
        <w:rPr>
          <w:sz w:val="20"/>
          <w:szCs w:val="20"/>
        </w:rPr>
        <w:t xml:space="preserve">Y. Wang, W. Zhong, L. Li, et al., “Aligning Large Language Models with Humans: A Survey,” </w:t>
      </w:r>
      <w:proofErr w:type="spellStart"/>
      <w:r>
        <w:rPr>
          <w:i/>
          <w:iCs/>
          <w:sz w:val="20"/>
          <w:szCs w:val="20"/>
        </w:rPr>
        <w:t>arXiv</w:t>
      </w:r>
      <w:proofErr w:type="spellEnd"/>
      <w:r>
        <w:rPr>
          <w:i/>
          <w:iCs/>
          <w:sz w:val="20"/>
          <w:szCs w:val="20"/>
        </w:rPr>
        <w:t xml:space="preserve"> preprint arXiv:2307.12966</w:t>
      </w:r>
      <w:r>
        <w:rPr>
          <w:sz w:val="20"/>
          <w:szCs w:val="20"/>
        </w:rPr>
        <w:t>, 2023.</w:t>
      </w:r>
    </w:p>
    <w:p w14:paraId="50D29658" w14:textId="77777777" w:rsidR="00576BF7" w:rsidRDefault="00000000">
      <w:pPr>
        <w:keepLines/>
        <w:widowControl w:val="0"/>
        <w:numPr>
          <w:ilvl w:val="0"/>
          <w:numId w:val="4"/>
        </w:numPr>
        <w:rPr>
          <w:sz w:val="20"/>
          <w:szCs w:val="20"/>
        </w:rPr>
      </w:pPr>
      <w:r>
        <w:rPr>
          <w:sz w:val="20"/>
          <w:szCs w:val="20"/>
        </w:rPr>
        <w:lastRenderedPageBreak/>
        <w:t>Y. Xiong, R. Jin, Y. Wang, et al., “</w:t>
      </w:r>
      <w:proofErr w:type="spellStart"/>
      <w:r>
        <w:rPr>
          <w:sz w:val="20"/>
          <w:szCs w:val="20"/>
        </w:rPr>
        <w:t>ComoRAG</w:t>
      </w:r>
      <w:proofErr w:type="spellEnd"/>
      <w:r>
        <w:rPr>
          <w:sz w:val="20"/>
          <w:szCs w:val="20"/>
        </w:rPr>
        <w:t xml:space="preserve">: A Cognitive-Inspired Memory-Organized RAG for Stateful Long Narrative Reasoning,” </w:t>
      </w:r>
      <w:proofErr w:type="spellStart"/>
      <w:r>
        <w:rPr>
          <w:i/>
          <w:iCs/>
          <w:sz w:val="20"/>
          <w:szCs w:val="20"/>
        </w:rPr>
        <w:t>arXiv</w:t>
      </w:r>
      <w:proofErr w:type="spellEnd"/>
      <w:r>
        <w:rPr>
          <w:i/>
          <w:iCs/>
          <w:sz w:val="20"/>
          <w:szCs w:val="20"/>
        </w:rPr>
        <w:t xml:space="preserve"> preprint arXiv:2508.xxxxx</w:t>
      </w:r>
      <w:r>
        <w:rPr>
          <w:sz w:val="20"/>
          <w:szCs w:val="20"/>
        </w:rPr>
        <w:t>, August 2025.</w:t>
      </w:r>
    </w:p>
    <w:p w14:paraId="39DE7C32" w14:textId="77777777" w:rsidR="00576BF7" w:rsidRDefault="00000000">
      <w:pPr>
        <w:keepLines/>
        <w:widowControl w:val="0"/>
        <w:numPr>
          <w:ilvl w:val="0"/>
          <w:numId w:val="4"/>
        </w:numPr>
        <w:rPr>
          <w:sz w:val="20"/>
          <w:szCs w:val="20"/>
        </w:rPr>
      </w:pPr>
      <w:r>
        <w:rPr>
          <w:sz w:val="20"/>
          <w:szCs w:val="20"/>
        </w:rPr>
        <w:t xml:space="preserve">Z. Chen, H. Wu, J. Wang, et al., “Can Retrieval-Augmented Generation Replace Fine-Tuning?,” </w:t>
      </w:r>
      <w:proofErr w:type="spellStart"/>
      <w:r>
        <w:rPr>
          <w:i/>
          <w:iCs/>
          <w:sz w:val="20"/>
          <w:szCs w:val="20"/>
        </w:rPr>
        <w:t>arXiv</w:t>
      </w:r>
      <w:proofErr w:type="spellEnd"/>
      <w:r>
        <w:rPr>
          <w:i/>
          <w:iCs/>
          <w:sz w:val="20"/>
          <w:szCs w:val="20"/>
        </w:rPr>
        <w:t xml:space="preserve"> preprint arXiv:2401.xxxxx</w:t>
      </w:r>
      <w:r>
        <w:rPr>
          <w:sz w:val="20"/>
          <w:szCs w:val="20"/>
        </w:rPr>
        <w:t>, 2024.</w:t>
      </w:r>
    </w:p>
    <w:p w14:paraId="274F55EB" w14:textId="77777777" w:rsidR="00576BF7" w:rsidRDefault="00000000">
      <w:pPr>
        <w:keepLines/>
        <w:widowControl w:val="0"/>
        <w:numPr>
          <w:ilvl w:val="0"/>
          <w:numId w:val="4"/>
        </w:numPr>
        <w:rPr>
          <w:sz w:val="20"/>
          <w:szCs w:val="20"/>
        </w:rPr>
      </w:pPr>
      <w:r>
        <w:rPr>
          <w:sz w:val="20"/>
          <w:szCs w:val="20"/>
        </w:rPr>
        <w:t xml:space="preserve">Z. Jiang, F. F. Xu, L. Gao, et al., “Active Retrieval-Augmented Generation,” </w:t>
      </w:r>
      <w:r>
        <w:rPr>
          <w:i/>
          <w:iCs/>
          <w:sz w:val="20"/>
          <w:szCs w:val="20"/>
        </w:rPr>
        <w:t>Proc. EMNLP 2023</w:t>
      </w:r>
      <w:r>
        <w:rPr>
          <w:sz w:val="20"/>
          <w:szCs w:val="20"/>
        </w:rPr>
        <w:t>, pp. 7969–7992.</w:t>
      </w:r>
    </w:p>
    <w:p w14:paraId="299FE45A" w14:textId="77777777" w:rsidR="00576BF7" w:rsidRDefault="00000000">
      <w:pPr>
        <w:keepLines/>
        <w:widowControl w:val="0"/>
        <w:numPr>
          <w:ilvl w:val="0"/>
          <w:numId w:val="4"/>
        </w:numPr>
        <w:rPr>
          <w:sz w:val="20"/>
          <w:szCs w:val="20"/>
        </w:rPr>
      </w:pPr>
      <w:r>
        <w:rPr>
          <w:sz w:val="20"/>
          <w:szCs w:val="20"/>
        </w:rPr>
        <w:t>Z. Yang, P. Qi, S. Zhang, et al., “</w:t>
      </w:r>
      <w:proofErr w:type="spellStart"/>
      <w:r>
        <w:rPr>
          <w:sz w:val="20"/>
          <w:szCs w:val="20"/>
        </w:rPr>
        <w:t>HotpotQA</w:t>
      </w:r>
      <w:proofErr w:type="spellEnd"/>
      <w:r>
        <w:rPr>
          <w:sz w:val="20"/>
          <w:szCs w:val="20"/>
        </w:rPr>
        <w:t xml:space="preserve">: A Dataset for Diverse, Explainable Multi-Hop Question Answering,” </w:t>
      </w:r>
      <w:r>
        <w:rPr>
          <w:i/>
          <w:iCs/>
          <w:sz w:val="20"/>
          <w:szCs w:val="20"/>
        </w:rPr>
        <w:t>Proc. EMNLP 2018</w:t>
      </w:r>
      <w:r>
        <w:rPr>
          <w:sz w:val="20"/>
          <w:szCs w:val="20"/>
        </w:rPr>
        <w:t>, pp. 2369–2380.</w:t>
      </w:r>
    </w:p>
    <w:p w14:paraId="76080B36" w14:textId="77777777" w:rsidR="00576BF7" w:rsidRDefault="00576BF7">
      <w:pPr>
        <w:widowControl w:val="0"/>
        <w:spacing w:line="275" w:lineRule="auto"/>
        <w:ind w:left="720"/>
        <w:rPr>
          <w:sz w:val="20"/>
          <w:szCs w:val="20"/>
        </w:rPr>
      </w:pPr>
    </w:p>
    <w:p w14:paraId="2DA31180" w14:textId="77777777" w:rsidR="00576BF7" w:rsidRDefault="00576BF7">
      <w:pPr>
        <w:jc w:val="both"/>
        <w:rPr>
          <w:b/>
          <w:bCs/>
          <w:sz w:val="20"/>
          <w:szCs w:val="20"/>
        </w:rPr>
        <w:sectPr w:rsidR="00576BF7">
          <w:type w:val="continuous"/>
          <w:pgSz w:w="12240" w:h="15840"/>
          <w:pgMar w:top="1152" w:right="720" w:bottom="1008" w:left="720" w:header="547" w:footer="446" w:gutter="0"/>
          <w:cols w:space="720"/>
        </w:sectPr>
      </w:pPr>
    </w:p>
    <w:p w14:paraId="63E33124" w14:textId="77777777" w:rsidR="00576BF7" w:rsidRDefault="00576BF7">
      <w:pPr>
        <w:pBdr>
          <w:top w:val="nil"/>
          <w:left w:val="nil"/>
          <w:bottom w:val="nil"/>
          <w:right w:val="nil"/>
          <w:between w:val="nil"/>
        </w:pBdr>
        <w:spacing w:after="240"/>
        <w:jc w:val="both"/>
        <w:rPr>
          <w:color w:val="000000"/>
          <w:sz w:val="20"/>
          <w:szCs w:val="20"/>
        </w:rPr>
      </w:pPr>
    </w:p>
    <w:p w14:paraId="1DE12386" w14:textId="77777777" w:rsidR="00576BF7" w:rsidRDefault="00576BF7">
      <w:pPr>
        <w:jc w:val="both"/>
        <w:rPr>
          <w:sz w:val="20"/>
          <w:szCs w:val="20"/>
        </w:rPr>
      </w:pPr>
    </w:p>
    <w:sectPr w:rsidR="00576BF7">
      <w:type w:val="continuous"/>
      <w:pgSz w:w="12240" w:h="15840"/>
      <w:pgMar w:top="1008" w:right="720" w:bottom="10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EAC8E" w14:textId="77777777" w:rsidR="00A56C91" w:rsidRDefault="00A56C91">
      <w:r>
        <w:separator/>
      </w:r>
    </w:p>
  </w:endnote>
  <w:endnote w:type="continuationSeparator" w:id="0">
    <w:p w14:paraId="4C9B4A22" w14:textId="77777777" w:rsidR="00A56C91" w:rsidRDefault="00A56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3959614-E938-4447-ACC0-E38CDA7BEE23}"/>
  </w:font>
  <w:font w:name="Book Antiqua">
    <w:panose1 w:val="02040602050305030304"/>
    <w:charset w:val="00"/>
    <w:family w:val="roman"/>
    <w:pitch w:val="variable"/>
    <w:sig w:usb0="00000287" w:usb1="00000000" w:usb2="00000000" w:usb3="00000000" w:csb0="0000009F" w:csb1="00000000"/>
    <w:embedRegular r:id="rId2" w:fontKey="{8E9584AD-8469-46BE-AE58-24B2381A2099}"/>
    <w:embedBold r:id="rId3" w:fontKey="{44C46CAB-6C62-4728-8C49-42CD84EEB6CF}"/>
  </w:font>
  <w:font w:name="Calibri">
    <w:panose1 w:val="020F0502020204030204"/>
    <w:charset w:val="00"/>
    <w:family w:val="swiss"/>
    <w:pitch w:val="variable"/>
    <w:sig w:usb0="E4002EFF" w:usb1="C200247B" w:usb2="00000009" w:usb3="00000000" w:csb0="000001FF" w:csb1="00000000"/>
    <w:embedRegular r:id="rId4" w:fontKey="{6B4B5FE0-0367-442C-A83F-D7A67E15392A}"/>
  </w:font>
  <w:font w:name="Cambria">
    <w:altName w:val="Cambria"/>
    <w:panose1 w:val="02040503050406030204"/>
    <w:charset w:val="00"/>
    <w:family w:val="roman"/>
    <w:pitch w:val="variable"/>
    <w:sig w:usb0="E00006FF" w:usb1="420024FF" w:usb2="02000000" w:usb3="00000000" w:csb0="0000019F" w:csb1="00000000"/>
    <w:embedRegular r:id="rId5" w:fontKey="{B440A834-EB2C-418D-A126-AB50DFB8EB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DFF02" w14:textId="77777777" w:rsidR="00576BF7" w:rsidRDefault="00000000">
    <w:pPr>
      <w:tabs>
        <w:tab w:val="left" w:pos="5387"/>
        <w:tab w:val="right" w:pos="10620"/>
      </w:tabs>
      <w:jc w:val="center"/>
      <w:rPr>
        <w:sz w:val="18"/>
        <w:szCs w:val="18"/>
      </w:rPr>
    </w:pPr>
    <w:r>
      <w:rPr>
        <w:sz w:val="18"/>
        <w:szCs w:val="18"/>
      </w:rPr>
      <w:tab/>
      <w:t xml:space="preserve">                                                                                                </w:t>
    </w:r>
    <w:r>
      <w:rPr>
        <w:rFonts w:ascii="Book Antiqua" w:eastAsia="Book Antiqua" w:hAnsi="Book Antiqua" w:cs="Book Antiqua"/>
        <w:sz w:val="20"/>
        <w:szCs w:val="20"/>
      </w:rPr>
      <w:fldChar w:fldCharType="begin"/>
    </w:r>
    <w:r>
      <w:rPr>
        <w:rFonts w:ascii="Book Antiqua" w:eastAsia="Book Antiqua" w:hAnsi="Book Antiqua" w:cs="Book Antiqua"/>
        <w:sz w:val="20"/>
        <w:szCs w:val="20"/>
      </w:rPr>
      <w:instrText>PAGE</w:instrText>
    </w:r>
    <w:r>
      <w:rPr>
        <w:rFonts w:ascii="Book Antiqua" w:eastAsia="Book Antiqua" w:hAnsi="Book Antiqua" w:cs="Book Antiqua"/>
        <w:sz w:val="20"/>
        <w:szCs w:val="20"/>
      </w:rPr>
      <w:fldChar w:fldCharType="separate"/>
    </w:r>
    <w:r w:rsidR="00CE72BE">
      <w:rPr>
        <w:rFonts w:ascii="Book Antiqua" w:eastAsia="Book Antiqua" w:hAnsi="Book Antiqua" w:cs="Book Antiqua"/>
        <w:noProof/>
        <w:sz w:val="20"/>
        <w:szCs w:val="20"/>
      </w:rPr>
      <w:t>1</w:t>
    </w:r>
    <w:r>
      <w:rPr>
        <w:rFonts w:ascii="Book Antiqua" w:eastAsia="Book Antiqua" w:hAnsi="Book Antiqua" w:cs="Book Antiqua"/>
        <w:sz w:val="20"/>
        <w:szCs w:val="20"/>
      </w:rPr>
      <w:fldChar w:fldCharType="end"/>
    </w:r>
    <w:r>
      <w:rPr>
        <w:rFonts w:ascii="Book Antiqua" w:eastAsia="Book Antiqua" w:hAnsi="Book Antiqua" w:cs="Book Antiqua"/>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66A97" w14:textId="77777777" w:rsidR="00A56C91" w:rsidRDefault="00A56C91">
      <w:r>
        <w:separator/>
      </w:r>
    </w:p>
  </w:footnote>
  <w:footnote w:type="continuationSeparator" w:id="0">
    <w:p w14:paraId="001F6AC9" w14:textId="77777777" w:rsidR="00A56C91" w:rsidRDefault="00A56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1C85" w14:textId="77777777" w:rsidR="00576BF7" w:rsidRDefault="00000000">
    <w:pPr>
      <w:pBdr>
        <w:top w:val="nil"/>
        <w:left w:val="nil"/>
        <w:bottom w:val="nil"/>
        <w:right w:val="nil"/>
        <w:between w:val="nil"/>
      </w:pBdr>
      <w:rPr>
        <w:color w:val="000000"/>
        <w:sz w:val="16"/>
        <w:szCs w:val="16"/>
      </w:rPr>
    </w:pPr>
    <w:r>
      <w:rPr>
        <w:color w:val="00000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71A15"/>
    <w:multiLevelType w:val="multilevel"/>
    <w:tmpl w:val="7E9CBF38"/>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1846B2"/>
    <w:multiLevelType w:val="multilevel"/>
    <w:tmpl w:val="9F70FC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E92158"/>
    <w:multiLevelType w:val="multilevel"/>
    <w:tmpl w:val="CE680762"/>
    <w:lvl w:ilvl="0">
      <w:start w:val="1"/>
      <w:numFmt w:val="decimal"/>
      <w:lvlText w:val="%1."/>
      <w:lvlJc w:val="left"/>
      <w:pPr>
        <w:ind w:left="480" w:hanging="360"/>
      </w:pPr>
      <w:rPr>
        <w:rFonts w:ascii="Times New Roman" w:eastAsia="Times New Roman" w:hAnsi="Times New Roman" w:cs="Times New Roman"/>
        <w:b w:val="0"/>
        <w:bCs w:val="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AF568D"/>
    <w:multiLevelType w:val="multilevel"/>
    <w:tmpl w:val="2FCAC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2510066">
    <w:abstractNumId w:val="2"/>
  </w:num>
  <w:num w:numId="2" w16cid:durableId="607271996">
    <w:abstractNumId w:val="3"/>
  </w:num>
  <w:num w:numId="3" w16cid:durableId="121465092">
    <w:abstractNumId w:val="0"/>
  </w:num>
  <w:num w:numId="4" w16cid:durableId="59141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BF7"/>
    <w:rsid w:val="00576BF7"/>
    <w:rsid w:val="00A56C91"/>
    <w:rsid w:val="00BE70DA"/>
    <w:rsid w:val="00CE72BE"/>
    <w:rsid w:val="00F532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4DC01"/>
  <w15:docId w15:val="{90BF84DB-1DA6-4501-96D4-6C25F1D40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120" w:after="60"/>
      <w:ind w:left="144"/>
      <w:outlineLvl w:val="1"/>
    </w:pPr>
    <w:rPr>
      <w:i/>
      <w:iCs/>
      <w:sz w:val="20"/>
      <w:szCs w:val="20"/>
    </w:rPr>
  </w:style>
  <w:style w:type="paragraph" w:styleId="Heading3">
    <w:name w:val="heading 3"/>
    <w:basedOn w:val="Normal"/>
    <w:next w:val="Normal"/>
    <w:uiPriority w:val="9"/>
    <w:unhideWhenUsed/>
    <w:qFormat/>
    <w:pPr>
      <w:keepNext/>
      <w:ind w:left="288"/>
      <w:outlineLvl w:val="2"/>
    </w:pPr>
    <w:rPr>
      <w:i/>
      <w:iCs/>
      <w:sz w:val="20"/>
      <w:szCs w:val="20"/>
    </w:rPr>
  </w:style>
  <w:style w:type="paragraph" w:styleId="Heading4">
    <w:name w:val="heading 4"/>
    <w:basedOn w:val="Normal"/>
    <w:next w:val="Normal"/>
    <w:uiPriority w:val="9"/>
    <w:unhideWhenUsed/>
    <w:qFormat/>
    <w:pPr>
      <w:keepNext/>
      <w:spacing w:before="240" w:after="60"/>
      <w:ind w:left="1152" w:hanging="720"/>
      <w:outlineLvl w:val="3"/>
    </w:pPr>
    <w:rPr>
      <w:i/>
      <w:iCs/>
      <w:sz w:val="18"/>
      <w:szCs w:val="18"/>
    </w:rPr>
  </w:style>
  <w:style w:type="paragraph" w:styleId="Heading5">
    <w:name w:val="heading 5"/>
    <w:basedOn w:val="Normal"/>
    <w:next w:val="Normal"/>
    <w:uiPriority w:val="9"/>
    <w:unhideWhenUsed/>
    <w:qFormat/>
    <w:pPr>
      <w:spacing w:before="240" w:after="60"/>
      <w:ind w:left="1872" w:hanging="720"/>
      <w:outlineLvl w:val="4"/>
    </w:pPr>
    <w:rPr>
      <w:sz w:val="18"/>
      <w:szCs w:val="18"/>
    </w:rPr>
  </w:style>
  <w:style w:type="paragraph" w:styleId="Heading6">
    <w:name w:val="heading 6"/>
    <w:basedOn w:val="Normal"/>
    <w:next w:val="Normal"/>
    <w:uiPriority w:val="9"/>
    <w:semiHidden/>
    <w:unhideWhenUsed/>
    <w:qFormat/>
    <w:pPr>
      <w:spacing w:before="240" w:after="60"/>
      <w:ind w:left="2592" w:hanging="720"/>
      <w:outlineLvl w:val="5"/>
    </w:pPr>
    <w:rPr>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nthropic.com/claude" TargetMode="External"/><Relationship Id="rId18" Type="http://schemas.openxmlformats.org/officeDocument/2006/relationships/hyperlink" Target="https://python.langchain.com/docs/" TargetMode="External"/><Relationship Id="rId26" Type="http://schemas.openxmlformats.org/officeDocument/2006/relationships/hyperlink" Target="https://weaviate.io/developers/weaviate" TargetMode="External"/><Relationship Id="rId3" Type="http://schemas.openxmlformats.org/officeDocument/2006/relationships/settings" Target="settings.xml"/><Relationship Id="rId21" Type="http://schemas.openxmlformats.org/officeDocument/2006/relationships/hyperlink" Target="https://docs.pinecone.io/" TargetMode="External"/><Relationship Id="rId7" Type="http://schemas.openxmlformats.org/officeDocument/2006/relationships/header" Target="header1.xml"/><Relationship Id="rId12" Type="http://schemas.openxmlformats.org/officeDocument/2006/relationships/hyperlink" Target="https://docs.aws.amazon.com/bedrock/latest/userguide/knowledge-base.html" TargetMode="External"/><Relationship Id="rId17" Type="http://schemas.openxmlformats.org/officeDocument/2006/relationships/hyperlink" Target="https://python.langchain.com/docs/" TargetMode="External"/><Relationship Id="rId25" Type="http://schemas.openxmlformats.org/officeDocument/2006/relationships/hyperlink" Target="https://weaviate.io/developers/weaviate" TargetMode="External"/><Relationship Id="rId2" Type="http://schemas.openxmlformats.org/officeDocument/2006/relationships/styles" Target="styles.xml"/><Relationship Id="rId16" Type="http://schemas.openxmlformats.org/officeDocument/2006/relationships/hyperlink" Target="https://cloud.google.com/vertex-ai/docs/agent-builder" TargetMode="External"/><Relationship Id="rId20" Type="http://schemas.openxmlformats.org/officeDocument/2006/relationships/hyperlink" Target="https://docs.llamaindex.a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aws.amazon.com/bedrock/latest/userguide/knowledge-base.html" TargetMode="External"/><Relationship Id="rId24" Type="http://schemas.openxmlformats.org/officeDocument/2006/relationships/hyperlink" Target="https://docs.ragie.ai/multimodal-rag" TargetMode="External"/><Relationship Id="rId5" Type="http://schemas.openxmlformats.org/officeDocument/2006/relationships/footnotes" Target="footnotes.xml"/><Relationship Id="rId15" Type="http://schemas.openxmlformats.org/officeDocument/2006/relationships/hyperlink" Target="https://cloud.google.com/vertex-ai/docs/agent-builder" TargetMode="External"/><Relationship Id="rId23" Type="http://schemas.openxmlformats.org/officeDocument/2006/relationships/hyperlink" Target="https://docs.ragie.ai/multimodal-ra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cs.llamaindex.ai/"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anthropic.com/claude" TargetMode="External"/><Relationship Id="rId22" Type="http://schemas.openxmlformats.org/officeDocument/2006/relationships/hyperlink" Target="https://docs.pinecone.io/"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7007</Words>
  <Characters>39942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Radhika Gupta</cp:lastModifiedBy>
  <cp:revision>2</cp:revision>
  <dcterms:created xsi:type="dcterms:W3CDTF">2025-11-10T14:59:00Z</dcterms:created>
  <dcterms:modified xsi:type="dcterms:W3CDTF">2025-11-10T16:10:00Z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ies>
</file>