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341C" w14:textId="2E0A3EBF" w:rsidR="00601A36" w:rsidRPr="00A516D0" w:rsidRDefault="00312ABA" w:rsidP="00601A36">
      <w:pPr>
        <w:spacing w:after="0" w:line="240" w:lineRule="auto"/>
        <w:jc w:val="center"/>
        <w:rPr>
          <w:rFonts w:ascii="Times New Roman"/>
          <w:b/>
          <w:sz w:val="32"/>
          <w:szCs w:val="32"/>
        </w:rPr>
      </w:pPr>
      <w:bookmarkStart w:id="0" w:name="_Hlk221044821"/>
      <w:bookmarkEnd w:id="0"/>
      <w:r w:rsidRPr="00312ABA">
        <w:rPr>
          <w:rFonts w:ascii="Times New Roman"/>
          <w:b/>
          <w:sz w:val="32"/>
          <w:szCs w:val="32"/>
        </w:rPr>
        <w:t>A Hybrid GAN</w:t>
      </w:r>
      <w:r w:rsidRPr="00312ABA">
        <w:rPr>
          <w:rFonts w:ascii="Times New Roman"/>
          <w:b/>
          <w:sz w:val="32"/>
          <w:szCs w:val="32"/>
        </w:rPr>
        <w:t>–</w:t>
      </w:r>
      <w:r w:rsidRPr="00312ABA">
        <w:rPr>
          <w:rFonts w:ascii="Times New Roman"/>
          <w:b/>
          <w:sz w:val="32"/>
          <w:szCs w:val="32"/>
        </w:rPr>
        <w:t>NLP Framework for Financial Time-Series Prediction Using Market and Sentiment Data</w:t>
      </w:r>
    </w:p>
    <w:p w14:paraId="7ED60B48" w14:textId="77777777" w:rsidR="00DF171E" w:rsidRPr="00C955C2" w:rsidRDefault="00DF171E" w:rsidP="00DF171E">
      <w:pPr>
        <w:spacing w:after="0" w:line="240" w:lineRule="auto"/>
        <w:jc w:val="center"/>
        <w:rPr>
          <w:rFonts w:ascii="Times New Roman" w:hAnsi="Times New Roman"/>
          <w:b/>
          <w:sz w:val="20"/>
          <w:szCs w:val="20"/>
          <w:lang w:val="en-GB"/>
        </w:rPr>
      </w:pPr>
    </w:p>
    <w:p w14:paraId="747BC5AF" w14:textId="41375007" w:rsidR="00601A36" w:rsidRPr="00552DDF" w:rsidRDefault="006E66A8" w:rsidP="00601A36">
      <w:pPr>
        <w:spacing w:after="0" w:line="240" w:lineRule="auto"/>
        <w:jc w:val="center"/>
        <w:rPr>
          <w:rFonts w:ascii="Times New Roman"/>
          <w:sz w:val="28"/>
          <w:szCs w:val="20"/>
          <w:vertAlign w:val="superscript"/>
        </w:rPr>
      </w:pPr>
      <w:r>
        <w:rPr>
          <w:rFonts w:ascii="Times New Roman"/>
          <w:sz w:val="28"/>
          <w:szCs w:val="20"/>
        </w:rPr>
        <w:t>Alexis Lazanas</w:t>
      </w:r>
      <w:r w:rsidR="00601A36" w:rsidRPr="00A516D0">
        <w:rPr>
          <w:rFonts w:ascii="Times New Roman"/>
          <w:sz w:val="28"/>
          <w:szCs w:val="20"/>
          <w:vertAlign w:val="superscript"/>
        </w:rPr>
        <w:t>1</w:t>
      </w:r>
      <w:r w:rsidR="00601A36" w:rsidRPr="00A516D0">
        <w:rPr>
          <w:rFonts w:ascii="Times New Roman"/>
          <w:sz w:val="28"/>
          <w:szCs w:val="20"/>
        </w:rPr>
        <w:t xml:space="preserve">, </w:t>
      </w:r>
      <w:r w:rsidR="003E2510" w:rsidRPr="003E2510">
        <w:rPr>
          <w:rFonts w:ascii="Times New Roman"/>
          <w:sz w:val="28"/>
          <w:szCs w:val="20"/>
        </w:rPr>
        <w:t>Spyridon Karpouzis</w:t>
      </w:r>
      <w:r w:rsidR="00601A36" w:rsidRPr="00A516D0">
        <w:rPr>
          <w:rFonts w:ascii="Times New Roman"/>
          <w:sz w:val="28"/>
          <w:szCs w:val="20"/>
          <w:vertAlign w:val="superscript"/>
        </w:rPr>
        <w:t>2</w:t>
      </w:r>
      <w:r w:rsidR="00E2107E">
        <w:rPr>
          <w:rFonts w:ascii="Times New Roman"/>
          <w:sz w:val="28"/>
          <w:szCs w:val="20"/>
          <w:vertAlign w:val="superscript"/>
        </w:rPr>
        <w:t xml:space="preserve"> </w:t>
      </w:r>
      <w:r w:rsidR="00E2107E" w:rsidRPr="00E1207F">
        <w:rPr>
          <w:rFonts w:ascii="Times New Roman"/>
          <w:sz w:val="28"/>
          <w:szCs w:val="20"/>
        </w:rPr>
        <w:t>and</w:t>
      </w:r>
      <w:r w:rsidR="00E1207F">
        <w:rPr>
          <w:rFonts w:ascii="Times New Roman"/>
          <w:sz w:val="28"/>
          <w:szCs w:val="20"/>
        </w:rPr>
        <w:t xml:space="preserve"> Spyr</w:t>
      </w:r>
      <w:r w:rsidR="009B1303">
        <w:rPr>
          <w:rFonts w:ascii="Times New Roman"/>
          <w:sz w:val="28"/>
          <w:szCs w:val="20"/>
        </w:rPr>
        <w:t>os</w:t>
      </w:r>
      <w:r w:rsidR="00E1207F">
        <w:rPr>
          <w:rFonts w:ascii="Times New Roman"/>
          <w:sz w:val="28"/>
          <w:szCs w:val="20"/>
        </w:rPr>
        <w:t xml:space="preserve"> Christodoulou</w:t>
      </w:r>
      <w:r w:rsidR="00552DDF">
        <w:rPr>
          <w:rFonts w:ascii="Times New Roman"/>
          <w:sz w:val="28"/>
          <w:szCs w:val="20"/>
          <w:vertAlign w:val="superscript"/>
        </w:rPr>
        <w:t>3</w:t>
      </w:r>
    </w:p>
    <w:p w14:paraId="4B5BC695" w14:textId="2AE847D7" w:rsidR="009E489A" w:rsidRDefault="006A419C" w:rsidP="00DF171E">
      <w:pPr>
        <w:spacing w:after="0" w:line="240" w:lineRule="auto"/>
        <w:jc w:val="center"/>
        <w:rPr>
          <w:rFonts w:ascii="Times New Roman" w:hAnsi="Times New Roman"/>
          <w:i/>
          <w:sz w:val="20"/>
          <w:szCs w:val="20"/>
          <w:lang w:val="en-GB"/>
        </w:rPr>
      </w:pPr>
      <w:r w:rsidRPr="006A419C">
        <w:rPr>
          <w:rFonts w:ascii="Times New Roman" w:hAnsi="Times New Roman"/>
          <w:b/>
          <w:bCs/>
          <w:i/>
          <w:vertAlign w:val="superscript"/>
        </w:rPr>
        <w:t>1,3</w:t>
      </w:r>
      <w:r>
        <w:rPr>
          <w:rFonts w:ascii="Times New Roman" w:hAnsi="Times New Roman"/>
          <w:i/>
          <w:sz w:val="20"/>
          <w:szCs w:val="20"/>
        </w:rPr>
        <w:t xml:space="preserve"> </w:t>
      </w:r>
      <w:r>
        <w:rPr>
          <w:rFonts w:ascii="Times New Roman" w:hAnsi="Times New Roman"/>
          <w:i/>
          <w:sz w:val="20"/>
          <w:szCs w:val="20"/>
          <w:lang w:val="en-GB"/>
        </w:rPr>
        <w:t>D</w:t>
      </w:r>
      <w:r w:rsidR="009E489A" w:rsidRPr="00C955C2">
        <w:rPr>
          <w:rFonts w:ascii="Times New Roman" w:hAnsi="Times New Roman"/>
          <w:i/>
          <w:sz w:val="20"/>
          <w:szCs w:val="20"/>
          <w:lang w:val="en-GB"/>
        </w:rPr>
        <w:t xml:space="preserve">epartment of </w:t>
      </w:r>
      <w:r w:rsidR="00BC03F2">
        <w:rPr>
          <w:rFonts w:ascii="Times New Roman" w:hAnsi="Times New Roman"/>
          <w:i/>
          <w:sz w:val="20"/>
          <w:szCs w:val="20"/>
          <w:lang w:val="en-GB"/>
        </w:rPr>
        <w:t>Mechanical</w:t>
      </w:r>
      <w:r w:rsidR="009E489A" w:rsidRPr="00C955C2">
        <w:rPr>
          <w:rFonts w:ascii="Times New Roman" w:hAnsi="Times New Roman"/>
          <w:i/>
          <w:sz w:val="20"/>
          <w:szCs w:val="20"/>
          <w:lang w:val="en-GB"/>
        </w:rPr>
        <w:t xml:space="preserve"> </w:t>
      </w:r>
      <w:r w:rsidR="00BC03F2">
        <w:rPr>
          <w:rFonts w:ascii="Times New Roman" w:hAnsi="Times New Roman"/>
          <w:i/>
          <w:sz w:val="20"/>
          <w:szCs w:val="20"/>
          <w:lang w:val="en-GB"/>
        </w:rPr>
        <w:t>Engineering and Aeronautics</w:t>
      </w:r>
      <w:r w:rsidR="009E489A" w:rsidRPr="00C955C2">
        <w:rPr>
          <w:rFonts w:ascii="Times New Roman" w:hAnsi="Times New Roman"/>
          <w:i/>
          <w:sz w:val="20"/>
          <w:szCs w:val="20"/>
          <w:lang w:val="en-GB"/>
        </w:rPr>
        <w:t>, University</w:t>
      </w:r>
      <w:r w:rsidR="005449A5">
        <w:rPr>
          <w:rFonts w:ascii="Times New Roman" w:hAnsi="Times New Roman"/>
          <w:i/>
          <w:sz w:val="20"/>
          <w:szCs w:val="20"/>
          <w:lang w:val="en-GB"/>
        </w:rPr>
        <w:t xml:space="preserve"> of Patras</w:t>
      </w:r>
      <w:r w:rsidR="009E489A" w:rsidRPr="00C955C2">
        <w:rPr>
          <w:rFonts w:ascii="Times New Roman" w:hAnsi="Times New Roman"/>
          <w:i/>
          <w:sz w:val="20"/>
          <w:szCs w:val="20"/>
          <w:lang w:val="en-GB"/>
        </w:rPr>
        <w:t xml:space="preserve">, </w:t>
      </w:r>
      <w:r w:rsidR="005449A5">
        <w:rPr>
          <w:rFonts w:ascii="Times New Roman" w:hAnsi="Times New Roman"/>
          <w:i/>
          <w:sz w:val="20"/>
          <w:szCs w:val="20"/>
          <w:lang w:val="en-GB"/>
        </w:rPr>
        <w:t>Greece</w:t>
      </w:r>
    </w:p>
    <w:p w14:paraId="6316D240" w14:textId="794A15FC" w:rsidR="001A1D6D" w:rsidRDefault="004A3259" w:rsidP="001A1D6D">
      <w:pPr>
        <w:spacing w:after="0" w:line="240" w:lineRule="auto"/>
        <w:jc w:val="center"/>
        <w:rPr>
          <w:rFonts w:ascii="Times New Roman" w:hAnsi="Times New Roman"/>
          <w:i/>
          <w:sz w:val="20"/>
          <w:szCs w:val="20"/>
          <w:lang w:val="en-GB"/>
        </w:rPr>
      </w:pPr>
      <w:r>
        <w:rPr>
          <w:rFonts w:ascii="Times New Roman" w:hAnsi="Times New Roman"/>
          <w:b/>
          <w:bCs/>
          <w:i/>
          <w:vertAlign w:val="superscript"/>
        </w:rPr>
        <w:t>2</w:t>
      </w:r>
      <w:r w:rsidR="001A1D6D">
        <w:rPr>
          <w:rFonts w:ascii="Times New Roman" w:hAnsi="Times New Roman"/>
          <w:i/>
          <w:sz w:val="20"/>
          <w:szCs w:val="20"/>
        </w:rPr>
        <w:t xml:space="preserve"> </w:t>
      </w:r>
      <w:r w:rsidRPr="004A3259">
        <w:rPr>
          <w:rFonts w:ascii="Times New Roman" w:hAnsi="Times New Roman"/>
          <w:i/>
          <w:sz w:val="20"/>
          <w:szCs w:val="20"/>
          <w:lang w:val="en-GB"/>
        </w:rPr>
        <w:t>FICC Market Risk, BNP Paribas CIB, London, United Kingdom</w:t>
      </w:r>
    </w:p>
    <w:p w14:paraId="1ADE0D49" w14:textId="0E41C59F" w:rsidR="001A4B60" w:rsidRPr="000F40AE" w:rsidRDefault="001A4B60" w:rsidP="007A7123">
      <w:pPr>
        <w:spacing w:after="0" w:line="240" w:lineRule="auto"/>
        <w:jc w:val="center"/>
        <w:rPr>
          <w:rFonts w:ascii="Times New Roman"/>
          <w:i/>
          <w:sz w:val="20"/>
          <w:szCs w:val="20"/>
        </w:rPr>
      </w:pPr>
      <w:r w:rsidRPr="00C955C2">
        <w:rPr>
          <w:rFonts w:ascii="Times New Roman" w:hAnsi="Times New Roman"/>
          <w:i/>
          <w:sz w:val="20"/>
          <w:szCs w:val="20"/>
        </w:rPr>
        <w:t>Corresponding Author:</w:t>
      </w:r>
      <w:r w:rsidR="00734996">
        <w:rPr>
          <w:rFonts w:ascii="Times New Roman" w:hAnsi="Times New Roman"/>
          <w:i/>
          <w:sz w:val="20"/>
          <w:szCs w:val="20"/>
        </w:rPr>
        <w:t xml:space="preserve"> Alexis Lazanas</w:t>
      </w:r>
      <w:r w:rsidR="00357BA0">
        <w:rPr>
          <w:rFonts w:ascii="Times New Roman" w:hAnsi="Times New Roman"/>
          <w:i/>
          <w:sz w:val="20"/>
          <w:szCs w:val="20"/>
        </w:rPr>
        <w:t xml:space="preserve">, </w:t>
      </w:r>
      <w:hyperlink r:id="rId8" w:history="1">
        <w:r w:rsidR="00357BA0" w:rsidRPr="00053BD1">
          <w:rPr>
            <w:rStyle w:val="-"/>
            <w:rFonts w:ascii="Times New Roman" w:hAnsi="Times New Roman"/>
            <w:i/>
            <w:sz w:val="20"/>
            <w:szCs w:val="20"/>
          </w:rPr>
          <w:t>alexlas@upatras.gr</w:t>
        </w:r>
      </w:hyperlink>
      <w:r w:rsidR="00357BA0">
        <w:rPr>
          <w:rFonts w:ascii="Times New Roman" w:hAnsi="Times New Roman"/>
          <w:i/>
          <w:sz w:val="20"/>
          <w:szCs w:val="20"/>
        </w:rPr>
        <w:t xml:space="preserve"> </w:t>
      </w:r>
    </w:p>
    <w:p w14:paraId="0DE81847" w14:textId="77777777" w:rsidR="00E2107E" w:rsidRDefault="00E2107E" w:rsidP="007A7123">
      <w:pPr>
        <w:spacing w:after="0" w:line="240" w:lineRule="auto"/>
        <w:jc w:val="center"/>
        <w:rPr>
          <w:rFonts w:ascii="Times New Roman" w:hAnsi="Times New Roman"/>
          <w:i/>
          <w:sz w:val="20"/>
          <w:szCs w:val="20"/>
        </w:rPr>
      </w:pPr>
    </w:p>
    <w:p w14:paraId="53B0641D" w14:textId="77777777" w:rsidR="00B53CDA" w:rsidRPr="00C955C2" w:rsidRDefault="00B53CDA" w:rsidP="007A7123">
      <w:pPr>
        <w:spacing w:after="0" w:line="240" w:lineRule="auto"/>
        <w:jc w:val="center"/>
        <w:rPr>
          <w:rFonts w:ascii="Times New Roman" w:hAnsi="Times New Roman"/>
          <w:b/>
          <w:sz w:val="20"/>
          <w:szCs w:val="20"/>
          <w:lang w:val="en-GB"/>
        </w:rPr>
      </w:pPr>
    </w:p>
    <w:p w14:paraId="15B243CD" w14:textId="34EEDB62" w:rsidR="00C87960" w:rsidRPr="00C87960" w:rsidRDefault="00496A24" w:rsidP="00C87960">
      <w:pPr>
        <w:pBdr>
          <w:top w:val="single" w:sz="4" w:space="1" w:color="auto"/>
        </w:pBdr>
        <w:spacing w:after="0" w:line="240" w:lineRule="auto"/>
        <w:jc w:val="both"/>
        <w:rPr>
          <w:rFonts w:ascii="Times New Roman" w:hAnsi="Times New Roman"/>
          <w:sz w:val="20"/>
          <w:szCs w:val="20"/>
        </w:rPr>
      </w:pPr>
      <w:r w:rsidRPr="00C955C2">
        <w:rPr>
          <w:rFonts w:ascii="Times New Roman" w:hAnsi="Times New Roman"/>
          <w:b/>
          <w:szCs w:val="20"/>
          <w:lang w:val="en-GB"/>
        </w:rPr>
        <w:t xml:space="preserve">Abstract: </w:t>
      </w:r>
      <w:r w:rsidR="00C87960" w:rsidRPr="00C87960">
        <w:rPr>
          <w:rFonts w:ascii="Times New Roman" w:hAnsi="Times New Roman"/>
          <w:sz w:val="20"/>
          <w:szCs w:val="20"/>
        </w:rPr>
        <w:t>Time-series forecasting under non-stationary and complex conditions is still an unresolved problem in machine learning, especially when the information of interest is spread across non-homogeneous sources of data. Conventional statistical methods, such as AutoRegressive Integrated Moving Average (ARIMA) models, rely on restrictive assumptions and are often unable to capture nonlinear temporal dynamics, while recurrent neural networks, such as Long Short-Term Memory (LSTM) models, may fail to adequately represent distributional properties under volatile conditions. This study proposes a hybrid architectural framework that integrates Generative Adversarial Networks (GANs) with Natural Language Processing (NLP) techniques for sentiment extraction to improve time-series prediction. The proposed architecture combines adversarial learning on numerical market data with sentiment-based contextual information derived from unstructured textual sources, allowing the model to jointly exploit temporal and contextual signals. The framework is evaluated on financial market data, a representative application domain characterized by noise, regime shifts, and heterogeneous information streams. Experimental results demonstrate that the proposed GAN–NLP approach outperforms ARIMA and LSTM baselines across multiple evaluation metrics and exhibits improved robustness under varying volatility regimes. The findings highlight the potential of sentiment-conditioned generative modeling as a flexible and effective approach for time-series prediction tasks involving both numerical and textual data.</w:t>
      </w:r>
    </w:p>
    <w:p w14:paraId="30FD8806" w14:textId="72DFD1B5" w:rsidR="009E489A" w:rsidRPr="00C87960" w:rsidRDefault="009E489A" w:rsidP="001A4B60">
      <w:pPr>
        <w:pBdr>
          <w:top w:val="single" w:sz="4" w:space="1" w:color="auto"/>
        </w:pBdr>
        <w:spacing w:after="0" w:line="240" w:lineRule="auto"/>
        <w:jc w:val="both"/>
        <w:rPr>
          <w:rFonts w:ascii="Times New Roman" w:hAnsi="Times New Roman"/>
          <w:sz w:val="20"/>
          <w:szCs w:val="20"/>
        </w:rPr>
      </w:pPr>
    </w:p>
    <w:p w14:paraId="14C507D9" w14:textId="2050EAB6" w:rsidR="009E489A" w:rsidRPr="00C955C2" w:rsidRDefault="009E489A" w:rsidP="001A4B60">
      <w:pPr>
        <w:spacing w:after="0" w:line="240" w:lineRule="auto"/>
        <w:rPr>
          <w:rFonts w:ascii="Times New Roman" w:hAnsi="Times New Roman"/>
          <w:i/>
          <w:sz w:val="20"/>
          <w:szCs w:val="20"/>
          <w:lang w:val="en-GB"/>
        </w:rPr>
      </w:pPr>
      <w:r w:rsidRPr="007550B4">
        <w:rPr>
          <w:rFonts w:ascii="Times New Roman" w:hAnsi="Times New Roman"/>
          <w:b/>
          <w:szCs w:val="20"/>
          <w:lang w:val="en-GB"/>
        </w:rPr>
        <w:t>Keywords:</w:t>
      </w:r>
      <w:r w:rsidRPr="00C955C2">
        <w:rPr>
          <w:rFonts w:ascii="Times New Roman" w:hAnsi="Times New Roman"/>
          <w:i/>
          <w:szCs w:val="20"/>
          <w:lang w:val="en-GB"/>
        </w:rPr>
        <w:t xml:space="preserve"> </w:t>
      </w:r>
      <w:r w:rsidR="00AB0333" w:rsidRPr="00AB0333">
        <w:rPr>
          <w:rFonts w:ascii="Times New Roman" w:hAnsi="Times New Roman"/>
          <w:sz w:val="20"/>
          <w:szCs w:val="20"/>
        </w:rPr>
        <w:t xml:space="preserve">GANs, </w:t>
      </w:r>
      <w:r w:rsidR="00E05310">
        <w:rPr>
          <w:rFonts w:ascii="Times New Roman" w:hAnsi="Times New Roman"/>
          <w:sz w:val="20"/>
          <w:szCs w:val="20"/>
        </w:rPr>
        <w:t>D</w:t>
      </w:r>
      <w:r w:rsidR="00E05310" w:rsidRPr="00AB0333">
        <w:rPr>
          <w:rFonts w:ascii="Times New Roman" w:hAnsi="Times New Roman"/>
          <w:sz w:val="20"/>
          <w:szCs w:val="20"/>
        </w:rPr>
        <w:t xml:space="preserve">eep </w:t>
      </w:r>
      <w:r w:rsidR="00E05310">
        <w:rPr>
          <w:rFonts w:ascii="Times New Roman" w:hAnsi="Times New Roman"/>
          <w:sz w:val="20"/>
          <w:szCs w:val="20"/>
        </w:rPr>
        <w:t>L</w:t>
      </w:r>
      <w:r w:rsidR="00E05310" w:rsidRPr="00AB0333">
        <w:rPr>
          <w:rFonts w:ascii="Times New Roman" w:hAnsi="Times New Roman"/>
          <w:sz w:val="20"/>
          <w:szCs w:val="20"/>
        </w:rPr>
        <w:t xml:space="preserve">earning, </w:t>
      </w:r>
      <w:r w:rsidR="00E05310">
        <w:rPr>
          <w:rFonts w:ascii="Times New Roman" w:hAnsi="Times New Roman"/>
          <w:sz w:val="20"/>
          <w:szCs w:val="20"/>
        </w:rPr>
        <w:t>F</w:t>
      </w:r>
      <w:r w:rsidR="00E05310" w:rsidRPr="00AB0333">
        <w:rPr>
          <w:rFonts w:ascii="Times New Roman" w:hAnsi="Times New Roman"/>
          <w:sz w:val="20"/>
          <w:szCs w:val="20"/>
        </w:rPr>
        <w:t xml:space="preserve">inancial </w:t>
      </w:r>
      <w:r w:rsidR="00E05310">
        <w:rPr>
          <w:rFonts w:ascii="Times New Roman" w:hAnsi="Times New Roman"/>
          <w:sz w:val="20"/>
          <w:szCs w:val="20"/>
        </w:rPr>
        <w:t>D</w:t>
      </w:r>
      <w:r w:rsidR="00E05310" w:rsidRPr="00AB0333">
        <w:rPr>
          <w:rFonts w:ascii="Times New Roman" w:hAnsi="Times New Roman"/>
          <w:sz w:val="20"/>
          <w:szCs w:val="20"/>
        </w:rPr>
        <w:t>ata</w:t>
      </w:r>
      <w:r w:rsidR="00E05310">
        <w:rPr>
          <w:rFonts w:ascii="Times New Roman" w:hAnsi="Times New Roman"/>
          <w:sz w:val="20"/>
          <w:szCs w:val="20"/>
        </w:rPr>
        <w:t>,</w:t>
      </w:r>
      <w:r w:rsidR="00E05310" w:rsidRPr="007550B4">
        <w:rPr>
          <w:rFonts w:ascii="Times New Roman"/>
          <w:color w:val="FF0000"/>
          <w:sz w:val="20"/>
          <w:szCs w:val="20"/>
        </w:rPr>
        <w:t xml:space="preserve"> </w:t>
      </w:r>
      <w:r w:rsidR="00AB0333" w:rsidRPr="00AB0333">
        <w:rPr>
          <w:rFonts w:ascii="Times New Roman" w:hAnsi="Times New Roman"/>
          <w:sz w:val="20"/>
          <w:szCs w:val="20"/>
        </w:rPr>
        <w:t>N</w:t>
      </w:r>
      <w:r w:rsidR="00AB0333">
        <w:rPr>
          <w:rFonts w:ascii="Times New Roman" w:hAnsi="Times New Roman"/>
          <w:sz w:val="20"/>
          <w:szCs w:val="20"/>
        </w:rPr>
        <w:t>atural Language Processing</w:t>
      </w:r>
      <w:r w:rsidR="00AB0333" w:rsidRPr="00AB0333">
        <w:rPr>
          <w:rFonts w:ascii="Times New Roman" w:hAnsi="Times New Roman"/>
          <w:sz w:val="20"/>
          <w:szCs w:val="20"/>
        </w:rPr>
        <w:t xml:space="preserve">, </w:t>
      </w:r>
      <w:r w:rsidR="00B870D7">
        <w:rPr>
          <w:rFonts w:ascii="Times New Roman" w:hAnsi="Times New Roman"/>
          <w:sz w:val="20"/>
          <w:szCs w:val="20"/>
        </w:rPr>
        <w:t>T</w:t>
      </w:r>
      <w:r w:rsidR="00AB0333" w:rsidRPr="00AB0333">
        <w:rPr>
          <w:rFonts w:ascii="Times New Roman" w:hAnsi="Times New Roman"/>
          <w:sz w:val="20"/>
          <w:szCs w:val="20"/>
        </w:rPr>
        <w:t>ime-</w:t>
      </w:r>
      <w:r w:rsidR="00B870D7">
        <w:rPr>
          <w:rFonts w:ascii="Times New Roman" w:hAnsi="Times New Roman"/>
          <w:sz w:val="20"/>
          <w:szCs w:val="20"/>
        </w:rPr>
        <w:t>s</w:t>
      </w:r>
      <w:r w:rsidR="00AB0333" w:rsidRPr="00AB0333">
        <w:rPr>
          <w:rFonts w:ascii="Times New Roman" w:hAnsi="Times New Roman"/>
          <w:sz w:val="20"/>
          <w:szCs w:val="20"/>
        </w:rPr>
        <w:t xml:space="preserve">eries </w:t>
      </w:r>
      <w:r w:rsidR="00E05310">
        <w:rPr>
          <w:rFonts w:ascii="Times New Roman" w:hAnsi="Times New Roman"/>
          <w:sz w:val="20"/>
          <w:szCs w:val="20"/>
        </w:rPr>
        <w:t>P</w:t>
      </w:r>
      <w:r w:rsidR="00AB0333" w:rsidRPr="00AB0333">
        <w:rPr>
          <w:rFonts w:ascii="Times New Roman" w:hAnsi="Times New Roman"/>
          <w:sz w:val="20"/>
          <w:szCs w:val="20"/>
        </w:rPr>
        <w:t>rediction</w:t>
      </w:r>
      <w:r w:rsidR="00E05310">
        <w:rPr>
          <w:rFonts w:ascii="Times New Roman" w:hAnsi="Times New Roman"/>
          <w:sz w:val="20"/>
          <w:szCs w:val="20"/>
        </w:rPr>
        <w:t>.</w:t>
      </w:r>
    </w:p>
    <w:p w14:paraId="65CABFEF"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2E322531" w14:textId="60D44A31" w:rsidR="002E30ED" w:rsidRPr="00C955C2" w:rsidRDefault="002E30ED" w:rsidP="002E30ED">
      <w:pPr>
        <w:spacing w:after="0" w:line="240" w:lineRule="auto"/>
        <w:rPr>
          <w:rFonts w:ascii="Times New Roman" w:hAnsi="Times New Roman"/>
          <w:sz w:val="20"/>
        </w:rPr>
      </w:pPr>
      <w:r w:rsidRPr="00C955C2">
        <w:rPr>
          <w:rFonts w:ascii="Times New Roman" w:hAnsi="Times New Roman"/>
          <w:sz w:val="20"/>
        </w:rPr>
        <w:t xml:space="preserve">Date of Submission: </w:t>
      </w:r>
      <w:r w:rsidR="00A72FA9">
        <w:rPr>
          <w:rFonts w:ascii="Times New Roman" w:hAnsi="Times New Roman"/>
          <w:sz w:val="20"/>
        </w:rPr>
        <w:t>XX</w:t>
      </w:r>
      <w:r w:rsidRPr="00C955C2">
        <w:rPr>
          <w:rFonts w:ascii="Times New Roman" w:hAnsi="Times New Roman"/>
          <w:sz w:val="20"/>
        </w:rPr>
        <w:t>-</w:t>
      </w:r>
      <w:r w:rsidR="00A72FA9">
        <w:rPr>
          <w:rFonts w:ascii="Times New Roman"/>
          <w:sz w:val="20"/>
        </w:rPr>
        <w:t>XX</w:t>
      </w:r>
      <w:r w:rsidRPr="00C955C2">
        <w:rPr>
          <w:rFonts w:ascii="Times New Roman" w:hAnsi="Times New Roman"/>
          <w:sz w:val="20"/>
        </w:rPr>
        <w:t>-20</w:t>
      </w:r>
      <w:r w:rsidR="00C670D1">
        <w:rPr>
          <w:rFonts w:ascii="Times New Roman" w:hAnsi="Times New Roman"/>
          <w:sz w:val="20"/>
        </w:rPr>
        <w:t>26</w:t>
      </w:r>
      <w:r w:rsidRPr="00C955C2">
        <w:rPr>
          <w:rFonts w:ascii="Times New Roman" w:hAnsi="Times New Roman"/>
          <w:sz w:val="20"/>
        </w:rPr>
        <w:t xml:space="preserve">                                                                     Date of acceptance: </w:t>
      </w:r>
      <w:r w:rsidR="00A72FA9">
        <w:rPr>
          <w:rFonts w:ascii="Times New Roman" w:hAnsi="Times New Roman"/>
          <w:sz w:val="20"/>
        </w:rPr>
        <w:t>XX</w:t>
      </w:r>
      <w:r w:rsidR="00A56C93">
        <w:rPr>
          <w:rFonts w:ascii="Times New Roman" w:hAnsi="Times New Roman"/>
          <w:sz w:val="20"/>
        </w:rPr>
        <w:t>-</w:t>
      </w:r>
      <w:r w:rsidR="00A72FA9">
        <w:rPr>
          <w:rFonts w:ascii="Times New Roman" w:hAnsi="Times New Roman"/>
          <w:sz w:val="20"/>
        </w:rPr>
        <w:t>XX</w:t>
      </w:r>
      <w:r w:rsidRPr="00C955C2">
        <w:rPr>
          <w:rFonts w:ascii="Times New Roman" w:hAnsi="Times New Roman"/>
          <w:sz w:val="20"/>
        </w:rPr>
        <w:t>-20</w:t>
      </w:r>
      <w:r w:rsidR="00C670D1">
        <w:rPr>
          <w:rFonts w:ascii="Times New Roman" w:hAnsi="Times New Roman"/>
          <w:sz w:val="20"/>
        </w:rPr>
        <w:t>26</w:t>
      </w:r>
    </w:p>
    <w:p w14:paraId="54C99BD2" w14:textId="77777777" w:rsidR="002E30ED" w:rsidRPr="00C955C2" w:rsidRDefault="002E30ED" w:rsidP="002E30ED">
      <w:pPr>
        <w:spacing w:after="0" w:line="240" w:lineRule="auto"/>
        <w:jc w:val="both"/>
        <w:rPr>
          <w:rFonts w:ascii="Times New Roman" w:hAnsi="Times New Roman"/>
          <w:sz w:val="20"/>
          <w:szCs w:val="20"/>
        </w:rPr>
      </w:pPr>
      <w:r w:rsidRPr="00C955C2">
        <w:rPr>
          <w:rFonts w:ascii="Times New Roman" w:hAnsi="Times New Roman"/>
          <w:sz w:val="20"/>
          <w:szCs w:val="20"/>
        </w:rPr>
        <w:t>---------------------------------------------------------------------------------------------------------------------------------------</w:t>
      </w:r>
    </w:p>
    <w:p w14:paraId="556BAB05" w14:textId="77777777" w:rsidR="00D358EC" w:rsidRPr="00C955C2" w:rsidRDefault="00D358EC" w:rsidP="00DF171E">
      <w:pPr>
        <w:spacing w:after="0" w:line="240" w:lineRule="auto"/>
        <w:contextualSpacing/>
        <w:jc w:val="both"/>
        <w:rPr>
          <w:rFonts w:ascii="Times New Roman" w:hAnsi="Times New Roman"/>
          <w:b/>
          <w:sz w:val="20"/>
          <w:szCs w:val="20"/>
          <w:lang w:val="en-GB"/>
        </w:rPr>
      </w:pPr>
    </w:p>
    <w:p w14:paraId="1E8CAF97" w14:textId="4457DF4A" w:rsidR="009E489A" w:rsidRPr="00C955C2" w:rsidRDefault="009E489A" w:rsidP="00C955C2">
      <w:pPr>
        <w:pStyle w:val="a3"/>
        <w:numPr>
          <w:ilvl w:val="0"/>
          <w:numId w:val="4"/>
        </w:numPr>
        <w:spacing w:after="0" w:line="240" w:lineRule="auto"/>
        <w:ind w:left="360"/>
        <w:jc w:val="center"/>
        <w:rPr>
          <w:rFonts w:ascii="Times New Roman" w:hAnsi="Times New Roman"/>
          <w:b/>
          <w:szCs w:val="20"/>
          <w:lang w:val="en-GB"/>
        </w:rPr>
      </w:pPr>
      <w:r w:rsidRPr="00C955C2">
        <w:rPr>
          <w:rFonts w:ascii="Times New Roman" w:hAnsi="Times New Roman"/>
          <w:b/>
          <w:szCs w:val="20"/>
          <w:lang w:val="en-GB"/>
        </w:rPr>
        <w:t>INTRODUCTION</w:t>
      </w:r>
    </w:p>
    <w:p w14:paraId="2C4B1B77"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 xml:space="preserve">Time-series forecasting in non-stationary and noisy settings has been a key problem of machine learning, especially where the underlying dynamics are nonlinear, and the information sources are heterogeneous. Classical methods of statistics, including ARIMA models, are based on restrictive assumptions on linearity and stationarity that restrict their capability to capture complex temporal relationships in real-world data (Billings and Yang 2006; Engle 1982). Although these models remain convenient benchmarks, they tend to be overly limited in their representational ability in contemporary data landscapes that are volatile, regime-altering and latent in their impact. </w:t>
      </w:r>
    </w:p>
    <w:p w14:paraId="58696797"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 xml:space="preserve">The emergence of deep learning has greatly contributed to time-series modeling, as it allows data-driven representation learning without strong distributional assumptions. LSTM-based recurrent neural networks (RNNs) have gained popularity because of their potential to learn long-term temporal dependencies (Hochreiter and Schmidhuber 1997; Bengio et al. 1994). Models based on LSTMs have been shown to maintain better predictive ability than classical statistical models in various sequence prediction problems, such as financial time-series prediction (Fischer and Krauss 2018; Nelson et al. 2017). However, LSTM models generally are trained in a purely discriminative fashion, and they might not be able to learn distributional properties well in highly volatile or regime-switching settings. </w:t>
      </w:r>
    </w:p>
    <w:p w14:paraId="5EB7F102"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Another paradigm of learning is generative modeling, which instead of making point predictions explicitly models the underlying data distribution. The GANs bring about an adversarial training process that has been found to be successful in training complex and high-dimensional data distributions (Goodfellow et al. 2014). Recent works have shown that GAN-based architectures possess the potential to be used sequentially and in time-series, as well as in applications with noisy and non-stationary data (Zhang et al. 2019; Vuletić et al. 2023; Brophy et al. 2023). These results indicate that adversarial learning is capable of improving robustness and generalization in difficult prediction environments.</w:t>
      </w:r>
    </w:p>
    <w:p w14:paraId="51A5BBCF"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lastRenderedPageBreak/>
        <w:t xml:space="preserve">Simultaneously, the growing access to unstructured textual information has been a stimulus to the adoption of Natural Language Processing (NLP) methods into predictive modeling pipelines. Contextual information that cannot be encoded in numerical time-series can be encoded in textual data obtained in news articles, online and social media platforms. Other applications of NLP like sentiment analysis make it possible to quantify subjective data, providing more explanatory force in areas where human perception and collective action determine the dynamic (Bollen et al. 2011; Derakhshan and Beigy 2019; Puh and </w:t>
      </w:r>
      <w:proofErr w:type="spellStart"/>
      <w:r w:rsidRPr="00540B79">
        <w:rPr>
          <w:rFonts w:ascii="Times New Roman" w:hAnsi="Times New Roman"/>
          <w:sz w:val="20"/>
          <w:szCs w:val="20"/>
        </w:rPr>
        <w:t>Bagić</w:t>
      </w:r>
      <w:proofErr w:type="spellEnd"/>
      <w:r w:rsidRPr="00540B79">
        <w:rPr>
          <w:rFonts w:ascii="Times New Roman" w:hAnsi="Times New Roman"/>
          <w:sz w:val="20"/>
          <w:szCs w:val="20"/>
        </w:rPr>
        <w:t xml:space="preserve"> </w:t>
      </w:r>
      <w:proofErr w:type="spellStart"/>
      <w:r w:rsidRPr="00540B79">
        <w:rPr>
          <w:rFonts w:ascii="Times New Roman" w:hAnsi="Times New Roman"/>
          <w:sz w:val="20"/>
          <w:szCs w:val="20"/>
        </w:rPr>
        <w:t>Babac</w:t>
      </w:r>
      <w:proofErr w:type="spellEnd"/>
      <w:r w:rsidRPr="00540B79">
        <w:rPr>
          <w:rFonts w:ascii="Times New Roman" w:hAnsi="Times New Roman"/>
          <w:sz w:val="20"/>
          <w:szCs w:val="20"/>
        </w:rPr>
        <w:t xml:space="preserve"> 2023; Tuan et al. 2024). Although increasing attention has been paid to the integration of textual and numerical data, the current methods tend to consider these streams of information separately or apply superficial fusion techniques.</w:t>
      </w:r>
    </w:p>
    <w:p w14:paraId="5E22C51F"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Attempting to overcome such constraints, this paper suggests a hybrid deep learning model that combines GANs with NLP-generated textual inputs to make time-series predictions. The suggested architecture combines adversarial sequence learning on numerical sequences with sentiment-based representations derived through the unstructured text and enables the model to concurrently leverage both temporal and contextual signals in a single learning task. The financial market data are used as application domain due to their non-stationarity, volatility, and sensitivity to non-homogeneous sources of information. Towards the above goal, we also perform comparative analyses with ARIMA and LSTM baselines to determine the performance of the proposed method.</w:t>
      </w:r>
    </w:p>
    <w:p w14:paraId="76F116B1"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In a broader sense, the present study is consistent with earlier research on smart data-driven modeling frameworks with the focus on the incorporation of heterogeneous sources of information in predictive systems (Dedotsi et al. 2023), whereas the methodological insights of hybrid generative and language-aware models are considered.</w:t>
      </w:r>
    </w:p>
    <w:p w14:paraId="1A007BBD" w14:textId="77777777" w:rsidR="00540B79" w:rsidRPr="00540B79" w:rsidRDefault="00540B79" w:rsidP="00540B79">
      <w:pPr>
        <w:spacing w:after="0" w:line="240" w:lineRule="auto"/>
        <w:ind w:firstLine="720"/>
        <w:contextualSpacing/>
        <w:jc w:val="both"/>
        <w:rPr>
          <w:rFonts w:ascii="Times New Roman" w:hAnsi="Times New Roman"/>
          <w:sz w:val="20"/>
          <w:szCs w:val="20"/>
        </w:rPr>
      </w:pPr>
      <w:r w:rsidRPr="00540B79">
        <w:rPr>
          <w:rFonts w:ascii="Times New Roman" w:hAnsi="Times New Roman"/>
          <w:sz w:val="20"/>
          <w:szCs w:val="20"/>
        </w:rPr>
        <w:t>The rest of the paper is structured as follows: Section 2 reviews the related literature on time-series forecasting systems, generative adversarial models, and NLP-based systems that integrate the textual information in the predictive models. Section 3 outlines the problem formulation and training procedure of the proposed GAN-NLP model, Section 4 reports on the experimental assessment, the data sources, preprocessing operations and protocol of evaluation. Section 5 provides the empirical findings in a form of quantitative and qualitative comparisons to the ARIMA and LSTM baselines. Finally, Section 6 addresses the possible shortcomings of the proposed approach and provides directions for further research.</w:t>
      </w:r>
    </w:p>
    <w:p w14:paraId="66D8088B" w14:textId="7CD32901" w:rsidR="009E489A" w:rsidRPr="00C955C2" w:rsidRDefault="009E489A" w:rsidP="00DF171E">
      <w:pPr>
        <w:spacing w:after="0" w:line="240" w:lineRule="auto"/>
        <w:contextualSpacing/>
        <w:jc w:val="both"/>
        <w:rPr>
          <w:rFonts w:ascii="Times New Roman" w:hAnsi="Times New Roman"/>
          <w:sz w:val="20"/>
          <w:szCs w:val="20"/>
          <w:lang w:val="en-GB"/>
        </w:rPr>
      </w:pPr>
      <w:r w:rsidRPr="00C955C2">
        <w:rPr>
          <w:rFonts w:ascii="Times New Roman" w:hAnsi="Times New Roman"/>
          <w:sz w:val="20"/>
          <w:szCs w:val="20"/>
          <w:lang w:val="en-GB"/>
        </w:rPr>
        <w:t xml:space="preserve"> </w:t>
      </w:r>
    </w:p>
    <w:p w14:paraId="3118920E" w14:textId="2144E53B" w:rsidR="00555CA4" w:rsidRPr="00C955C2" w:rsidRDefault="00F6512F" w:rsidP="00555CA4">
      <w:pPr>
        <w:pStyle w:val="a3"/>
        <w:numPr>
          <w:ilvl w:val="0"/>
          <w:numId w:val="4"/>
        </w:numPr>
        <w:spacing w:after="0" w:line="240" w:lineRule="auto"/>
        <w:ind w:left="360"/>
        <w:jc w:val="center"/>
        <w:rPr>
          <w:rFonts w:ascii="Times New Roman" w:hAnsi="Times New Roman"/>
          <w:b/>
          <w:szCs w:val="20"/>
          <w:lang w:val="en-GB"/>
        </w:rPr>
      </w:pPr>
      <w:r>
        <w:rPr>
          <w:rFonts w:ascii="Times New Roman" w:hAnsi="Times New Roman"/>
          <w:b/>
          <w:szCs w:val="20"/>
        </w:rPr>
        <w:t>RELATED WORK</w:t>
      </w:r>
    </w:p>
    <w:p w14:paraId="16A7EBD8" w14:textId="082854DD" w:rsidR="00555CA4" w:rsidRDefault="000414EA" w:rsidP="00555CA4">
      <w:pPr>
        <w:spacing w:after="0" w:line="240" w:lineRule="auto"/>
        <w:ind w:firstLine="720"/>
        <w:contextualSpacing/>
        <w:jc w:val="both"/>
        <w:rPr>
          <w:rFonts w:ascii="Times New Roman" w:hAnsi="Times New Roman"/>
          <w:sz w:val="20"/>
          <w:szCs w:val="20"/>
        </w:rPr>
      </w:pPr>
      <w:r w:rsidRPr="000414EA">
        <w:rPr>
          <w:rFonts w:ascii="Times New Roman" w:hAnsi="Times New Roman"/>
          <w:sz w:val="20"/>
          <w:szCs w:val="20"/>
        </w:rPr>
        <w:t>Time-series prediction research has developed beyond traditional statistical modeling to data-driven machine learning and deep learning methods due to the growing complexity, nonlinearity, and non-stationarity of real-world sequential data. Section 2 will discuss earlier research on the topic of the proposed hybrid GAN-NLP framework, with a particular focus on statistical foundations, sequential prediction deep learning networks, GANs, and the addition of textual data with the help of NLP</w:t>
      </w:r>
      <w:r w:rsidR="00555CA4" w:rsidRPr="00540B79">
        <w:rPr>
          <w:rFonts w:ascii="Times New Roman" w:hAnsi="Times New Roman"/>
          <w:sz w:val="20"/>
          <w:szCs w:val="20"/>
        </w:rPr>
        <w:t xml:space="preserve"> </w:t>
      </w:r>
    </w:p>
    <w:p w14:paraId="3D172295" w14:textId="77777777" w:rsidR="00916207" w:rsidRDefault="00916207" w:rsidP="00916207">
      <w:pPr>
        <w:spacing w:after="0" w:line="240" w:lineRule="auto"/>
        <w:contextualSpacing/>
        <w:rPr>
          <w:rFonts w:ascii="Times New Roman" w:hAnsi="Times New Roman"/>
          <w:sz w:val="20"/>
          <w:szCs w:val="20"/>
        </w:rPr>
      </w:pPr>
    </w:p>
    <w:p w14:paraId="0E4C4A00" w14:textId="3B968605" w:rsidR="000414EA" w:rsidRDefault="00A16136" w:rsidP="00916207">
      <w:pPr>
        <w:spacing w:after="0" w:line="240" w:lineRule="auto"/>
        <w:contextualSpacing/>
        <w:rPr>
          <w:rFonts w:ascii="Times New Roman" w:hAnsi="Times New Roman"/>
          <w:sz w:val="20"/>
          <w:szCs w:val="20"/>
        </w:rPr>
      </w:pPr>
      <w:r w:rsidRPr="00A16136">
        <w:rPr>
          <w:rFonts w:ascii="Times New Roman" w:hAnsi="Times New Roman"/>
          <w:sz w:val="20"/>
          <w:szCs w:val="20"/>
        </w:rPr>
        <w:t>2.1 Statistical and Machine Learning Approaches to Time-Series Prediction</w:t>
      </w:r>
    </w:p>
    <w:p w14:paraId="55BFF2D5" w14:textId="77777777"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Classical statistical models have been used as basic tools for time series forecasting for many years. Among them, ARIMA models continue to be used widely because of their interpretability and well-known theoretical properties (Billings and Yang 2006). More extensions allow time-varying volatility, e.g. Autoregressive Conditional Heteroskedasticity (ARCH) models, to better describe data when volatility is clustered (Engle 1982). Although these models are useful as benchmarks, they are based on the assumptions of linearity and stationarity which in many cases make them ineffective in complex, noisy settings.</w:t>
      </w:r>
    </w:p>
    <w:p w14:paraId="3FD3B909" w14:textId="77777777"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The shortcomings of statistical models facilitated the exploitation of machine learning methods with nonlinear-dependencies modeling abilities. Early machine learning methods such as support vector machines (SVM) and ensemble-based methods proved to be more flexible and accurate in their predictive power than purely statistical models (Leung et al. 2014). Nevertheless, these methods usually involve a lot of feature engineering, and are not easily scaled to high-dimensional sequential data.</w:t>
      </w:r>
    </w:p>
    <w:p w14:paraId="6CA68E03" w14:textId="77777777" w:rsidR="003D5021" w:rsidRDefault="003D5021" w:rsidP="00BB2D9D">
      <w:pPr>
        <w:spacing w:after="0" w:line="240" w:lineRule="auto"/>
        <w:contextualSpacing/>
        <w:rPr>
          <w:rFonts w:ascii="Times New Roman" w:hAnsi="Times New Roman"/>
          <w:sz w:val="20"/>
          <w:szCs w:val="20"/>
        </w:rPr>
      </w:pPr>
    </w:p>
    <w:p w14:paraId="386E5813" w14:textId="02F78499"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2.2 Deep Learning for Sequential Modeling</w:t>
      </w:r>
    </w:p>
    <w:p w14:paraId="7C35A784" w14:textId="77777777"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Deep learning has greatly improved time series modeling by allowing automatic representation learning from raw time series data. RNNs and especially the Long Short-Term Memory (LSTM) were developed to overcome the vanishing gradient phenomenon and be able to learn long-term temporal dependencies (Hochreiter and Schmidhuber 1997; Bengio et al. 1994). LSTM-based models have been used to good effect for a variety of sequential prediction tasks including financial time series forecasting (often outperforming classical statistical baselines) (Fischer and Krauss 2018; Nelson et al. 2017; Julian et al. 2023).</w:t>
      </w:r>
    </w:p>
    <w:p w14:paraId="31687242" w14:textId="77777777"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Even though LSTM models are successful, they are inherently discriminative and point estimation optimized. This can lead to minimal distributional properties of data, especially in highly volatile or regime-switching settings. This limitation has led to a resurgence of interest in generative modelling models that learn the underlying data distribution instead of being conditionally predictive.</w:t>
      </w:r>
    </w:p>
    <w:p w14:paraId="2401DE02" w14:textId="77777777" w:rsidR="003D5021" w:rsidRDefault="003D5021" w:rsidP="00BB2D9D">
      <w:pPr>
        <w:spacing w:after="0" w:line="240" w:lineRule="auto"/>
        <w:contextualSpacing/>
        <w:rPr>
          <w:rFonts w:ascii="Times New Roman" w:hAnsi="Times New Roman"/>
          <w:sz w:val="20"/>
          <w:szCs w:val="20"/>
        </w:rPr>
      </w:pPr>
    </w:p>
    <w:p w14:paraId="0EF418D5" w14:textId="4CA2FE48"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2.3 Generative Adversarial Networks (GANs) for Time-Series Data</w:t>
      </w:r>
    </w:p>
    <w:p w14:paraId="45696876" w14:textId="77777777"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The innovations of Goodfellow et al. (2014) - referred to as Generative Adversarial Networks (GANs), are a powerful framework of generative modeling, based on adversarial training between a discriminator and a generator. GANs have been incredibly effective in “learning” high-dimensional distributions with complex structures and have been studied especially in sequential and time-series data.</w:t>
      </w:r>
    </w:p>
    <w:p w14:paraId="77D962D6" w14:textId="77777777"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A preliminary time-series forecasting model based on GANs showed that adversarial learning can result in a more robust and generalized predictor with a good ability to model the temporal dynamics and noise characteristics (Zhang et al. 2019). Recent works have since optimized GAN-based algorithms to sequential prediction, and time/architecture-specific loss functions. Specifically, Fin-GAN, where loss functions are driven by economic concerns to improve the forecasting and categorization of financial time series, which is more distributionally realistic and directionally accurate (Vuletić et al. 2023). Extensive surveys demonstrate the growing applicability of GANs in time series modeling, particularly in non-stationary and noisy situations (Brophy et al. 2023).</w:t>
      </w:r>
    </w:p>
    <w:p w14:paraId="769BEE00" w14:textId="77777777" w:rsidR="00804DE5" w:rsidRDefault="00804DE5" w:rsidP="00BB2D9D">
      <w:pPr>
        <w:spacing w:after="0" w:line="240" w:lineRule="auto"/>
        <w:contextualSpacing/>
        <w:rPr>
          <w:rFonts w:ascii="Times New Roman" w:hAnsi="Times New Roman"/>
          <w:sz w:val="20"/>
          <w:szCs w:val="20"/>
        </w:rPr>
      </w:pPr>
    </w:p>
    <w:p w14:paraId="69B1A220" w14:textId="7DF68D69"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2.4 Natural Language Processing and Sentiment-Aware Prediction</w:t>
      </w:r>
    </w:p>
    <w:p w14:paraId="13CC0835" w14:textId="425C7FD4"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The emergence of numerical time-series modeling, the increased availability of unstructured textual data has triggered the investigation of how Natural Language Processing (NLP) techniques can be adapted to predictive systems. The contextual and sentiment-based information that can be encoded through the textual information in news media and social media platforms cannot be physically measured and thus, it can influence sequential dynamics.</w:t>
      </w:r>
      <w:r w:rsidR="00544CFE">
        <w:rPr>
          <w:rFonts w:ascii="Times New Roman" w:hAnsi="Times New Roman"/>
          <w:sz w:val="20"/>
          <w:szCs w:val="20"/>
        </w:rPr>
        <w:t xml:space="preserve"> </w:t>
      </w:r>
      <w:r w:rsidRPr="00BB2D9D">
        <w:rPr>
          <w:rFonts w:ascii="Times New Roman" w:hAnsi="Times New Roman"/>
          <w:sz w:val="20"/>
          <w:szCs w:val="20"/>
        </w:rPr>
        <w:t xml:space="preserve">Empirical research has established that social media sentiment can be correlated and, in certain instances, anticipate market trends. Applied research has also indicated that aggregated sentiment measures on the basis of online content are connected to the future shifts in market indices (Bollen et al. 2011). Subsequent studies found that sentiment cues offer predictive behavior of time-series forecasts, particularly when using numerical characteristics (Derakhshan and Beigy 2019; Puh and </w:t>
      </w:r>
      <w:proofErr w:type="spellStart"/>
      <w:r w:rsidRPr="00BB2D9D">
        <w:rPr>
          <w:rFonts w:ascii="Times New Roman" w:hAnsi="Times New Roman"/>
          <w:sz w:val="20"/>
          <w:szCs w:val="20"/>
        </w:rPr>
        <w:t>Bagić</w:t>
      </w:r>
      <w:proofErr w:type="spellEnd"/>
      <w:r w:rsidRPr="00BB2D9D">
        <w:rPr>
          <w:rFonts w:ascii="Times New Roman" w:hAnsi="Times New Roman"/>
          <w:sz w:val="20"/>
          <w:szCs w:val="20"/>
        </w:rPr>
        <w:t xml:space="preserve"> </w:t>
      </w:r>
      <w:proofErr w:type="spellStart"/>
      <w:r w:rsidRPr="00BB2D9D">
        <w:rPr>
          <w:rFonts w:ascii="Times New Roman" w:hAnsi="Times New Roman"/>
          <w:sz w:val="20"/>
          <w:szCs w:val="20"/>
        </w:rPr>
        <w:t>Babac</w:t>
      </w:r>
      <w:proofErr w:type="spellEnd"/>
      <w:r w:rsidRPr="00BB2D9D">
        <w:rPr>
          <w:rFonts w:ascii="Times New Roman" w:hAnsi="Times New Roman"/>
          <w:sz w:val="20"/>
          <w:szCs w:val="20"/>
        </w:rPr>
        <w:t xml:space="preserve"> 2023).</w:t>
      </w:r>
    </w:p>
    <w:p w14:paraId="54544BE4" w14:textId="77777777" w:rsidR="00544CFE" w:rsidRDefault="00544CFE" w:rsidP="00BB2D9D">
      <w:pPr>
        <w:spacing w:after="0" w:line="240" w:lineRule="auto"/>
        <w:contextualSpacing/>
        <w:rPr>
          <w:rFonts w:ascii="Times New Roman" w:hAnsi="Times New Roman"/>
          <w:sz w:val="20"/>
          <w:szCs w:val="20"/>
        </w:rPr>
      </w:pPr>
      <w:bookmarkStart w:id="1" w:name="_Hlk219653952"/>
    </w:p>
    <w:p w14:paraId="15639CC4" w14:textId="2B7C22EB" w:rsidR="00BB2D9D" w:rsidRPr="00BB2D9D" w:rsidRDefault="00BB2D9D" w:rsidP="00BB2D9D">
      <w:pPr>
        <w:spacing w:after="0" w:line="240" w:lineRule="auto"/>
        <w:contextualSpacing/>
        <w:rPr>
          <w:rFonts w:ascii="Times New Roman" w:hAnsi="Times New Roman"/>
          <w:sz w:val="20"/>
          <w:szCs w:val="20"/>
        </w:rPr>
      </w:pPr>
      <w:r w:rsidRPr="00BB2D9D">
        <w:rPr>
          <w:rFonts w:ascii="Times New Roman" w:hAnsi="Times New Roman"/>
          <w:sz w:val="20"/>
          <w:szCs w:val="20"/>
        </w:rPr>
        <w:t>2.5 Hybrid Deep Learning Models Integrating GANs and NLP</w:t>
      </w:r>
    </w:p>
    <w:bookmarkEnd w:id="1"/>
    <w:p w14:paraId="2981D7EE" w14:textId="77777777"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 xml:space="preserve">Recent studies have initiated the process of investigating hybrid architectures involving deep learning and combining such with NLP-derived features to boost predictive performance. Text-based sentiment representations have been demonstrated to be effective in models that combine recurrent neural networks with purely numerical methods (Shen and Shafiq 2020; </w:t>
      </w:r>
      <w:proofErr w:type="spellStart"/>
      <w:r w:rsidRPr="00BB2D9D">
        <w:rPr>
          <w:rFonts w:ascii="Times New Roman" w:hAnsi="Times New Roman"/>
          <w:sz w:val="20"/>
          <w:szCs w:val="20"/>
        </w:rPr>
        <w:t>Sonkiya</w:t>
      </w:r>
      <w:proofErr w:type="spellEnd"/>
      <w:r w:rsidRPr="00BB2D9D">
        <w:rPr>
          <w:rFonts w:ascii="Times New Roman" w:hAnsi="Times New Roman"/>
          <w:sz w:val="20"/>
          <w:szCs w:val="20"/>
        </w:rPr>
        <w:t xml:space="preserve"> et al. 2021). Nevertheless, numerous of the existing techniques are based on superficial fusion approaches or handle textual and numerical streams of data separately.</w:t>
      </w:r>
    </w:p>
    <w:p w14:paraId="75459F4C" w14:textId="77777777" w:rsidR="00BB2D9D" w:rsidRP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 xml:space="preserve">More - text guided – forecasting studies further confirm the importance of directly including textual information (e.g. news messages and channel descriptions) and learning cross modal interactions through attention based fusion. Xu et al. (2024) make Text-Guided Time Series Forecasting formal and show better performance improvement when the textual cues are combined with time-series representations by using cross-attention mechanisms. Similarly, Emami et al. (2023) introduce a modality-conscious Transformer that utilizes categorical text in combination with numerical time series with feature-level and inter-modal attention and emphasize the significance of organized multimodal fusion to forecasting. Lastly, language models are becoming more and more crucial to modern NLP pipelines to derive sentiment embeddings on longer format financial text (e.g., analyst reports), which can be used as informative auxiliary predictors of price trend prediction (Moreno and </w:t>
      </w:r>
      <w:proofErr w:type="spellStart"/>
      <w:r w:rsidRPr="00BB2D9D">
        <w:rPr>
          <w:rFonts w:ascii="Times New Roman" w:hAnsi="Times New Roman"/>
          <w:sz w:val="20"/>
          <w:szCs w:val="20"/>
        </w:rPr>
        <w:t>Ordieres</w:t>
      </w:r>
      <w:proofErr w:type="spellEnd"/>
      <w:r w:rsidRPr="00BB2D9D">
        <w:rPr>
          <w:rFonts w:ascii="Times New Roman" w:hAnsi="Times New Roman"/>
          <w:sz w:val="20"/>
          <w:szCs w:val="20"/>
        </w:rPr>
        <w:t>-Mere 2025).</w:t>
      </w:r>
    </w:p>
    <w:p w14:paraId="0AFD1EA6" w14:textId="04E485FD" w:rsidR="00BB2D9D" w:rsidRDefault="00BB2D9D" w:rsidP="00AB6ED5">
      <w:pPr>
        <w:spacing w:after="0" w:line="240" w:lineRule="auto"/>
        <w:ind w:firstLine="720"/>
        <w:contextualSpacing/>
        <w:jc w:val="both"/>
        <w:rPr>
          <w:rFonts w:ascii="Times New Roman" w:hAnsi="Times New Roman"/>
          <w:sz w:val="20"/>
          <w:szCs w:val="20"/>
        </w:rPr>
      </w:pPr>
      <w:r w:rsidRPr="00BB2D9D">
        <w:rPr>
          <w:rFonts w:ascii="Times New Roman" w:hAnsi="Times New Roman"/>
          <w:sz w:val="20"/>
          <w:szCs w:val="20"/>
        </w:rPr>
        <w:t>Despite the independent research on GAN-based models and NLP-enhanced predictors, few studies have been done on single architectures to combine adversarial generative learning with sentiment-aware textual representations to predict time-series. This is the gap that drives the current research, which suggests a hybrid GAN-NLP system that will combine both temporal structure and contextual information in a single learning process.</w:t>
      </w:r>
    </w:p>
    <w:p w14:paraId="4DF4E133" w14:textId="77777777" w:rsidR="008C1DAB" w:rsidRPr="00BB2D9D" w:rsidRDefault="008C1DAB" w:rsidP="00AB6ED5">
      <w:pPr>
        <w:spacing w:after="0" w:line="240" w:lineRule="auto"/>
        <w:ind w:firstLine="720"/>
        <w:contextualSpacing/>
        <w:jc w:val="both"/>
        <w:rPr>
          <w:rFonts w:ascii="Times New Roman" w:hAnsi="Times New Roman"/>
          <w:sz w:val="20"/>
          <w:szCs w:val="20"/>
        </w:rPr>
      </w:pPr>
    </w:p>
    <w:p w14:paraId="18A04A21" w14:textId="005100C7" w:rsidR="00916207" w:rsidRPr="00994441" w:rsidRDefault="00376A73" w:rsidP="00994441">
      <w:pPr>
        <w:pStyle w:val="a3"/>
        <w:numPr>
          <w:ilvl w:val="0"/>
          <w:numId w:val="4"/>
        </w:numPr>
        <w:spacing w:after="0" w:line="240" w:lineRule="auto"/>
        <w:ind w:left="360"/>
        <w:jc w:val="center"/>
        <w:rPr>
          <w:rFonts w:ascii="Times New Roman" w:hAnsi="Times New Roman"/>
          <w:sz w:val="20"/>
          <w:szCs w:val="20"/>
        </w:rPr>
      </w:pPr>
      <w:r w:rsidRPr="00994441">
        <w:rPr>
          <w:rFonts w:ascii="Times New Roman" w:hAnsi="Times New Roman"/>
          <w:b/>
          <w:szCs w:val="20"/>
        </w:rPr>
        <w:t>PROBLEM FORMULATION</w:t>
      </w:r>
      <w:r w:rsidR="00994441" w:rsidRPr="00994441">
        <w:rPr>
          <w:rFonts w:ascii="Times New Roman" w:hAnsi="Times New Roman"/>
          <w:b/>
          <w:szCs w:val="20"/>
        </w:rPr>
        <w:t xml:space="preserve"> AND PROPOSED</w:t>
      </w:r>
      <w:r w:rsidRPr="00994441">
        <w:rPr>
          <w:rFonts w:ascii="Times New Roman" w:hAnsi="Times New Roman"/>
          <w:b/>
          <w:szCs w:val="20"/>
        </w:rPr>
        <w:t xml:space="preserve"> GAN–NLP </w:t>
      </w:r>
      <w:r w:rsidR="00994441" w:rsidRPr="00994441">
        <w:rPr>
          <w:rFonts w:ascii="Times New Roman" w:hAnsi="Times New Roman"/>
          <w:b/>
          <w:szCs w:val="20"/>
        </w:rPr>
        <w:t>FRAMEWORK</w:t>
      </w:r>
    </w:p>
    <w:p w14:paraId="4D45EC96" w14:textId="599E6EE5" w:rsidR="00110F12" w:rsidRPr="00110F12" w:rsidRDefault="00110F12" w:rsidP="00110F12">
      <w:pPr>
        <w:spacing w:after="0" w:line="240" w:lineRule="auto"/>
        <w:ind w:firstLine="720"/>
        <w:contextualSpacing/>
        <w:jc w:val="both"/>
        <w:rPr>
          <w:rFonts w:ascii="Times New Roman" w:hAnsi="Times New Roman"/>
          <w:sz w:val="20"/>
          <w:szCs w:val="20"/>
        </w:rPr>
      </w:pPr>
      <w:r w:rsidRPr="00110F12">
        <w:rPr>
          <w:rFonts w:ascii="Times New Roman" w:hAnsi="Times New Roman"/>
          <w:sz w:val="20"/>
          <w:szCs w:val="20"/>
        </w:rPr>
        <w:t>Our work aims to create a predictive framework of stock market data that can be run in non-stationary, noisy and volatile conditions and at the same time make use of contextual information that is represented by unstructured textual information. Historical numerical patterns alone influence stock prices, but exogenous information, including market sentiment and collective perception, cannot be directly reflected by numerical indicators. The purpose of the proposed approach is, therefore, to combine numerical market data of stocks and sentiment-based contextual information in a single learning model.</w:t>
      </w:r>
    </w:p>
    <w:p w14:paraId="0E921A60" w14:textId="5F486CAD" w:rsidR="00110F12" w:rsidRPr="00110F12" w:rsidRDefault="00110F12" w:rsidP="00110F12">
      <w:pPr>
        <w:spacing w:after="0" w:line="240" w:lineRule="auto"/>
        <w:ind w:firstLine="720"/>
        <w:contextualSpacing/>
        <w:jc w:val="both"/>
        <w:rPr>
          <w:rFonts w:ascii="Times New Roman" w:hAnsi="Times New Roman"/>
          <w:sz w:val="20"/>
          <w:szCs w:val="20"/>
        </w:rPr>
      </w:pPr>
      <w:r w:rsidRPr="00110F12">
        <w:rPr>
          <w:rFonts w:ascii="Times New Roman" w:hAnsi="Times New Roman"/>
          <w:sz w:val="20"/>
          <w:szCs w:val="20"/>
        </w:rPr>
        <w:t xml:space="preserve">Let: </w:t>
      </w:r>
      <m:oMath>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t</m:t>
            </m:r>
          </m:sub>
        </m:sSub>
        <m:r>
          <w:rPr>
            <w:rFonts w:ascii="Cambria Math" w:hAnsi="Cambria Math" w:cs="Cambria Math"/>
            <w:sz w:val="20"/>
            <w:szCs w:val="20"/>
          </w:rPr>
          <m:t>∈</m:t>
        </m:r>
        <m:r>
          <w:rPr>
            <w:rFonts w:ascii="Cambria Math" w:hAnsi="Cambria Math"/>
            <w:sz w:val="20"/>
            <w:szCs w:val="20"/>
          </w:rPr>
          <m:t xml:space="preserve"> </m:t>
        </m:r>
        <m:sSup>
          <m:sSupPr>
            <m:ctrlPr>
              <w:rPr>
                <w:rFonts w:ascii="Cambria Math" w:hAnsi="Cambria Math"/>
                <w:i/>
                <w:sz w:val="20"/>
                <w:szCs w:val="20"/>
              </w:rPr>
            </m:ctrlPr>
          </m:sSupPr>
          <m:e>
            <m:r>
              <m:rPr>
                <m:scr m:val="double-struck"/>
              </m:rPr>
              <w:rPr>
                <w:rFonts w:ascii="Cambria Math" w:hAnsi="Cambria Math"/>
                <w:sz w:val="20"/>
                <w:szCs w:val="20"/>
              </w:rPr>
              <m:t>R</m:t>
            </m:r>
          </m:e>
          <m:sup>
            <m:r>
              <w:rPr>
                <w:rFonts w:ascii="Cambria Math" w:hAnsi="Cambria Math"/>
                <w:sz w:val="20"/>
                <w:szCs w:val="20"/>
              </w:rPr>
              <m:t>d</m:t>
            </m:r>
          </m:sup>
        </m:sSup>
      </m:oMath>
      <w:r w:rsidRPr="00110F12">
        <w:rPr>
          <w:rFonts w:ascii="Times New Roman" w:hAnsi="Times New Roman"/>
          <w:sz w:val="20"/>
          <w:szCs w:val="20"/>
        </w:rPr>
        <w:t xml:space="preserve">, denote a multivariate numerical observation of a financial asset at trading day </w:t>
      </w:r>
      <w:r w:rsidRPr="00110F12">
        <w:rPr>
          <w:rFonts w:ascii="Times New Roman" w:hAnsi="Times New Roman"/>
          <w:b/>
          <w:bCs/>
          <w:i/>
          <w:iCs/>
          <w:sz w:val="20"/>
          <w:szCs w:val="20"/>
        </w:rPr>
        <w:t>t</w:t>
      </w:r>
      <w:r w:rsidRPr="00110F12">
        <w:rPr>
          <w:rFonts w:ascii="Times New Roman" w:hAnsi="Times New Roman"/>
          <w:sz w:val="20"/>
          <w:szCs w:val="20"/>
        </w:rPr>
        <w:t xml:space="preserve">, where </w:t>
      </w:r>
      <w:r w:rsidRPr="00110F12">
        <w:rPr>
          <w:rFonts w:ascii="Times New Roman" w:hAnsi="Times New Roman"/>
          <w:b/>
          <w:bCs/>
          <w:i/>
          <w:iCs/>
          <w:sz w:val="20"/>
          <w:szCs w:val="20"/>
        </w:rPr>
        <w:t>d</w:t>
      </w:r>
      <w:r w:rsidRPr="00110F12">
        <w:rPr>
          <w:rFonts w:ascii="Times New Roman" w:hAnsi="Times New Roman"/>
          <w:sz w:val="20"/>
          <w:szCs w:val="20"/>
        </w:rPr>
        <w:t xml:space="preserve"> corresponds to the number of numerical attributes describing the stock. In this study, these attributes include price-related and trading-related variables such as: {</w:t>
      </w:r>
      <w:r w:rsidRPr="00110F12">
        <w:rPr>
          <w:rFonts w:ascii="Times New Roman" w:hAnsi="Times New Roman"/>
          <w:i/>
          <w:iCs/>
          <w:sz w:val="20"/>
          <w:szCs w:val="20"/>
        </w:rPr>
        <w:t>Open, High, Low, Close, Adjusted Close</w:t>
      </w:r>
      <w:r w:rsidRPr="00110F12">
        <w:rPr>
          <w:rFonts w:ascii="Times New Roman" w:hAnsi="Times New Roman"/>
          <w:sz w:val="20"/>
          <w:szCs w:val="20"/>
        </w:rPr>
        <w:t xml:space="preserve">, and </w:t>
      </w:r>
      <w:r w:rsidRPr="00110F12">
        <w:rPr>
          <w:rFonts w:ascii="Times New Roman" w:hAnsi="Times New Roman"/>
          <w:i/>
          <w:iCs/>
          <w:sz w:val="20"/>
          <w:szCs w:val="20"/>
        </w:rPr>
        <w:t>Volume}</w:t>
      </w:r>
      <w:r w:rsidRPr="00110F12">
        <w:rPr>
          <w:rFonts w:ascii="Times New Roman" w:hAnsi="Times New Roman"/>
          <w:sz w:val="20"/>
          <w:szCs w:val="20"/>
        </w:rPr>
        <w:t xml:space="preserve">, as summarized in </w:t>
      </w:r>
      <w:r w:rsidRPr="00110F12">
        <w:rPr>
          <w:rFonts w:ascii="Times New Roman" w:hAnsi="Times New Roman"/>
          <w:b/>
          <w:bCs/>
          <w:sz w:val="20"/>
          <w:szCs w:val="20"/>
        </w:rPr>
        <w:t>Table</w:t>
      </w:r>
      <w:r w:rsidRPr="00110F12">
        <w:rPr>
          <w:rFonts w:ascii="Times New Roman" w:hAnsi="Times New Roman"/>
          <w:sz w:val="20"/>
          <w:szCs w:val="20"/>
        </w:rPr>
        <w:t xml:space="preserve"> </w:t>
      </w:r>
      <w:r w:rsidRPr="00110F12">
        <w:rPr>
          <w:rFonts w:ascii="Times New Roman" w:hAnsi="Times New Roman"/>
          <w:b/>
          <w:bCs/>
          <w:sz w:val="20"/>
          <w:szCs w:val="20"/>
        </w:rPr>
        <w:t>1</w:t>
      </w:r>
      <w:r w:rsidRPr="00110F12">
        <w:rPr>
          <w:rFonts w:ascii="Times New Roman" w:hAnsi="Times New Roman"/>
          <w:sz w:val="20"/>
          <w:szCs w:val="20"/>
        </w:rPr>
        <w:t>:</w:t>
      </w:r>
    </w:p>
    <w:p w14:paraId="4021B730" w14:textId="64DDF442" w:rsidR="0034019A" w:rsidRPr="00DF78A0" w:rsidRDefault="0034019A" w:rsidP="0034019A">
      <w:pPr>
        <w:spacing w:after="0"/>
        <w:jc w:val="center"/>
        <w:rPr>
          <w:rFonts w:ascii="Times New Roman" w:hAnsi="Times New Roman"/>
          <w:sz w:val="20"/>
        </w:rPr>
      </w:pPr>
      <w:r w:rsidRPr="00DF78A0">
        <w:rPr>
          <w:rFonts w:ascii="Times New Roman" w:hAnsi="Times New Roman"/>
          <w:b/>
          <w:bCs/>
          <w:sz w:val="20"/>
        </w:rPr>
        <w:lastRenderedPageBreak/>
        <w:t>Table</w:t>
      </w:r>
      <w:r w:rsidRPr="00DF78A0">
        <w:rPr>
          <w:rFonts w:ascii="Times New Roman" w:hAnsi="Times New Roman"/>
          <w:sz w:val="20"/>
        </w:rPr>
        <w:t xml:space="preserve"> </w:t>
      </w:r>
      <w:r w:rsidRPr="00DF78A0">
        <w:rPr>
          <w:rFonts w:ascii="Times New Roman" w:hAnsi="Times New Roman"/>
          <w:b/>
          <w:bCs/>
          <w:sz w:val="20"/>
        </w:rPr>
        <w:t>1</w:t>
      </w:r>
      <w:r w:rsidR="00065ADF">
        <w:rPr>
          <w:rFonts w:ascii="Times New Roman" w:hAnsi="Times New Roman"/>
          <w:b/>
          <w:bCs/>
          <w:sz w:val="20"/>
        </w:rPr>
        <w:t>:</w:t>
      </w:r>
      <w:r w:rsidRPr="00DF78A0">
        <w:rPr>
          <w:rFonts w:ascii="Times New Roman" w:hAnsi="Times New Roman"/>
          <w:sz w:val="20"/>
        </w:rPr>
        <w:t xml:space="preserve"> Numerical stock market attributes used as model inputs and their role in price prediction</w:t>
      </w:r>
    </w:p>
    <w:tbl>
      <w:tblPr>
        <w:tblW w:w="8493" w:type="dxa"/>
        <w:jc w:val="center"/>
        <w:tblLook w:val="04A0" w:firstRow="1" w:lastRow="0" w:firstColumn="1" w:lastColumn="0" w:noHBand="0" w:noVBand="1"/>
      </w:tblPr>
      <w:tblGrid>
        <w:gridCol w:w="1140"/>
        <w:gridCol w:w="2286"/>
        <w:gridCol w:w="5067"/>
      </w:tblGrid>
      <w:tr w:rsidR="002C1156" w:rsidRPr="002C1156" w14:paraId="66A53B2B" w14:textId="77777777" w:rsidTr="00E262DF">
        <w:trPr>
          <w:trHeight w:val="425"/>
          <w:jc w:val="center"/>
        </w:trPr>
        <w:tc>
          <w:tcPr>
            <w:tcW w:w="0" w:type="auto"/>
            <w:tcBorders>
              <w:top w:val="single" w:sz="4" w:space="0" w:color="auto"/>
              <w:bottom w:val="single" w:sz="12" w:space="0" w:color="auto"/>
            </w:tcBorders>
            <w:vAlign w:val="bottom"/>
          </w:tcPr>
          <w:p w14:paraId="4C9432C4" w14:textId="77777777" w:rsidR="002C1156" w:rsidRPr="002C1156" w:rsidRDefault="002C1156" w:rsidP="002C1156">
            <w:pPr>
              <w:spacing w:after="0" w:line="240" w:lineRule="auto"/>
              <w:contextualSpacing/>
              <w:rPr>
                <w:rFonts w:ascii="Times New Roman" w:hAnsi="Times New Roman"/>
                <w:b/>
                <w:bCs/>
                <w:sz w:val="20"/>
                <w:szCs w:val="20"/>
              </w:rPr>
            </w:pPr>
            <w:r w:rsidRPr="002C1156">
              <w:rPr>
                <w:rFonts w:ascii="Times New Roman" w:hAnsi="Times New Roman"/>
                <w:b/>
                <w:bCs/>
                <w:sz w:val="20"/>
                <w:szCs w:val="20"/>
              </w:rPr>
              <w:t>Attribute</w:t>
            </w:r>
          </w:p>
        </w:tc>
        <w:tc>
          <w:tcPr>
            <w:tcW w:w="0" w:type="auto"/>
            <w:tcBorders>
              <w:top w:val="single" w:sz="4" w:space="0" w:color="auto"/>
              <w:bottom w:val="single" w:sz="12" w:space="0" w:color="auto"/>
            </w:tcBorders>
            <w:vAlign w:val="bottom"/>
          </w:tcPr>
          <w:p w14:paraId="6C6C7266" w14:textId="77777777" w:rsidR="002C1156" w:rsidRPr="002C1156" w:rsidRDefault="002C1156" w:rsidP="002C1156">
            <w:pPr>
              <w:spacing w:after="0" w:line="240" w:lineRule="auto"/>
              <w:contextualSpacing/>
              <w:rPr>
                <w:rFonts w:ascii="Times New Roman" w:hAnsi="Times New Roman"/>
                <w:b/>
                <w:bCs/>
                <w:sz w:val="20"/>
                <w:szCs w:val="20"/>
              </w:rPr>
            </w:pPr>
            <w:r w:rsidRPr="002C1156">
              <w:rPr>
                <w:rFonts w:ascii="Times New Roman" w:hAnsi="Times New Roman"/>
                <w:b/>
                <w:bCs/>
                <w:sz w:val="20"/>
                <w:szCs w:val="20"/>
              </w:rPr>
              <w:t>Description</w:t>
            </w:r>
          </w:p>
        </w:tc>
        <w:tc>
          <w:tcPr>
            <w:tcW w:w="0" w:type="auto"/>
            <w:tcBorders>
              <w:top w:val="single" w:sz="4" w:space="0" w:color="auto"/>
              <w:bottom w:val="single" w:sz="12" w:space="0" w:color="auto"/>
            </w:tcBorders>
            <w:vAlign w:val="bottom"/>
          </w:tcPr>
          <w:p w14:paraId="176DB429" w14:textId="77777777" w:rsidR="002C1156" w:rsidRPr="002C1156" w:rsidRDefault="002C1156" w:rsidP="002C1156">
            <w:pPr>
              <w:spacing w:after="0" w:line="240" w:lineRule="auto"/>
              <w:contextualSpacing/>
              <w:rPr>
                <w:rFonts w:ascii="Times New Roman" w:hAnsi="Times New Roman"/>
                <w:b/>
                <w:bCs/>
                <w:sz w:val="20"/>
                <w:szCs w:val="20"/>
              </w:rPr>
            </w:pPr>
            <w:r w:rsidRPr="002C1156">
              <w:rPr>
                <w:rFonts w:ascii="Times New Roman" w:hAnsi="Times New Roman"/>
                <w:b/>
                <w:bCs/>
                <w:sz w:val="20"/>
                <w:szCs w:val="20"/>
              </w:rPr>
              <w:t>Functionality in Prediction</w:t>
            </w:r>
          </w:p>
        </w:tc>
      </w:tr>
      <w:tr w:rsidR="002C1156" w:rsidRPr="002C1156" w14:paraId="21DA3B4D" w14:textId="77777777" w:rsidTr="00E262DF">
        <w:trPr>
          <w:trHeight w:val="865"/>
          <w:jc w:val="center"/>
        </w:trPr>
        <w:tc>
          <w:tcPr>
            <w:tcW w:w="0" w:type="auto"/>
            <w:tcBorders>
              <w:top w:val="single" w:sz="12" w:space="0" w:color="auto"/>
            </w:tcBorders>
            <w:vAlign w:val="center"/>
          </w:tcPr>
          <w:p w14:paraId="6BDBDC40"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Open</w:t>
            </w:r>
          </w:p>
        </w:tc>
        <w:tc>
          <w:tcPr>
            <w:tcW w:w="0" w:type="auto"/>
            <w:tcBorders>
              <w:top w:val="single" w:sz="12" w:space="0" w:color="auto"/>
            </w:tcBorders>
            <w:vAlign w:val="center"/>
          </w:tcPr>
          <w:p w14:paraId="6C9D7836"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opening price of the stock on a specific day</w:t>
            </w:r>
          </w:p>
        </w:tc>
        <w:tc>
          <w:tcPr>
            <w:tcW w:w="0" w:type="auto"/>
            <w:tcBorders>
              <w:top w:val="single" w:sz="12" w:space="0" w:color="auto"/>
            </w:tcBorders>
            <w:vAlign w:val="center"/>
          </w:tcPr>
          <w:p w14:paraId="70199E49"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Indicates investor sentiment at the start of trading. A higher than usual open might suggest buying pressure and potentially a rising price.</w:t>
            </w:r>
          </w:p>
        </w:tc>
      </w:tr>
      <w:tr w:rsidR="002C1156" w:rsidRPr="002C1156" w14:paraId="3171F1E2" w14:textId="77777777" w:rsidTr="00E262DF">
        <w:trPr>
          <w:trHeight w:val="738"/>
          <w:jc w:val="center"/>
        </w:trPr>
        <w:tc>
          <w:tcPr>
            <w:tcW w:w="0" w:type="auto"/>
            <w:vAlign w:val="center"/>
          </w:tcPr>
          <w:p w14:paraId="4C21B849"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High</w:t>
            </w:r>
          </w:p>
        </w:tc>
        <w:tc>
          <w:tcPr>
            <w:tcW w:w="0" w:type="auto"/>
            <w:vAlign w:val="center"/>
          </w:tcPr>
          <w:p w14:paraId="44A7B504"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highest price the stock reached during the day</w:t>
            </w:r>
          </w:p>
        </w:tc>
        <w:tc>
          <w:tcPr>
            <w:tcW w:w="0" w:type="auto"/>
            <w:vAlign w:val="center"/>
          </w:tcPr>
          <w:p w14:paraId="70D834E4"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Indicates buying pressure and potential upside. Resistance levels can be identified around previous highs, which may be difficult to break through.</w:t>
            </w:r>
          </w:p>
        </w:tc>
      </w:tr>
      <w:tr w:rsidR="002C1156" w:rsidRPr="002C1156" w14:paraId="7BB5E9D5" w14:textId="77777777" w:rsidTr="00E262DF">
        <w:trPr>
          <w:trHeight w:val="865"/>
          <w:jc w:val="center"/>
        </w:trPr>
        <w:tc>
          <w:tcPr>
            <w:tcW w:w="0" w:type="auto"/>
            <w:vAlign w:val="center"/>
          </w:tcPr>
          <w:p w14:paraId="7B594A08"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Low</w:t>
            </w:r>
          </w:p>
        </w:tc>
        <w:tc>
          <w:tcPr>
            <w:tcW w:w="0" w:type="auto"/>
            <w:vAlign w:val="center"/>
          </w:tcPr>
          <w:p w14:paraId="2B7A1A6E"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lowest price the stock reached during the day</w:t>
            </w:r>
          </w:p>
        </w:tc>
        <w:tc>
          <w:tcPr>
            <w:tcW w:w="0" w:type="auto"/>
            <w:vAlign w:val="center"/>
          </w:tcPr>
          <w:p w14:paraId="0654BBD1"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Indicates selling pressure and potential downside. Support levels can be identified around previous lows, which may be difficult to fall below.</w:t>
            </w:r>
          </w:p>
        </w:tc>
      </w:tr>
      <w:tr w:rsidR="002C1156" w:rsidRPr="002C1156" w14:paraId="054612A7" w14:textId="77777777" w:rsidTr="00E262DF">
        <w:trPr>
          <w:trHeight w:val="426"/>
          <w:jc w:val="center"/>
        </w:trPr>
        <w:tc>
          <w:tcPr>
            <w:tcW w:w="0" w:type="auto"/>
            <w:vAlign w:val="center"/>
          </w:tcPr>
          <w:p w14:paraId="0CD89754"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Close</w:t>
            </w:r>
          </w:p>
        </w:tc>
        <w:tc>
          <w:tcPr>
            <w:tcW w:w="0" w:type="auto"/>
            <w:vAlign w:val="center"/>
          </w:tcPr>
          <w:p w14:paraId="6C322A3C"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price at which the stock last traded on a specific day</w:t>
            </w:r>
          </w:p>
        </w:tc>
        <w:tc>
          <w:tcPr>
            <w:tcW w:w="0" w:type="auto"/>
            <w:vAlign w:val="center"/>
          </w:tcPr>
          <w:p w14:paraId="5B8B2CE4"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Often considered the most important price point as it reflects the final sentiment of the day's trading.</w:t>
            </w:r>
          </w:p>
        </w:tc>
      </w:tr>
      <w:tr w:rsidR="002C1156" w:rsidRPr="002C1156" w14:paraId="426C6FBC" w14:textId="77777777" w:rsidTr="00E262DF">
        <w:trPr>
          <w:trHeight w:val="707"/>
          <w:jc w:val="center"/>
        </w:trPr>
        <w:tc>
          <w:tcPr>
            <w:tcW w:w="0" w:type="auto"/>
            <w:vAlign w:val="center"/>
          </w:tcPr>
          <w:p w14:paraId="6C4652C1"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Adjusted Close</w:t>
            </w:r>
          </w:p>
        </w:tc>
        <w:tc>
          <w:tcPr>
            <w:tcW w:w="0" w:type="auto"/>
            <w:vAlign w:val="center"/>
          </w:tcPr>
          <w:p w14:paraId="60E197E5"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closing price adjusted for stock splits and dividends</w:t>
            </w:r>
          </w:p>
        </w:tc>
        <w:tc>
          <w:tcPr>
            <w:tcW w:w="0" w:type="auto"/>
            <w:vAlign w:val="center"/>
          </w:tcPr>
          <w:p w14:paraId="498D07AE"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Provides a more accurate picture of price movements over time, especially when comparing periods with corporate actions.</w:t>
            </w:r>
          </w:p>
        </w:tc>
      </w:tr>
      <w:tr w:rsidR="002C1156" w:rsidRPr="002C1156" w14:paraId="5F922A5A" w14:textId="77777777" w:rsidTr="00E262DF">
        <w:trPr>
          <w:trHeight w:val="421"/>
          <w:jc w:val="center"/>
        </w:trPr>
        <w:tc>
          <w:tcPr>
            <w:tcW w:w="0" w:type="auto"/>
            <w:tcBorders>
              <w:bottom w:val="single" w:sz="4" w:space="0" w:color="auto"/>
            </w:tcBorders>
            <w:vAlign w:val="center"/>
          </w:tcPr>
          <w:p w14:paraId="55074AC0" w14:textId="77777777" w:rsidR="002C1156" w:rsidRPr="002C1156" w:rsidRDefault="002C1156" w:rsidP="002C1156">
            <w:pPr>
              <w:spacing w:after="0" w:line="240" w:lineRule="auto"/>
              <w:contextualSpacing/>
              <w:rPr>
                <w:rFonts w:ascii="Times New Roman" w:hAnsi="Times New Roman"/>
                <w:i/>
                <w:iCs/>
                <w:sz w:val="20"/>
                <w:szCs w:val="20"/>
              </w:rPr>
            </w:pPr>
            <w:r w:rsidRPr="002C1156">
              <w:rPr>
                <w:rFonts w:ascii="Times New Roman" w:hAnsi="Times New Roman"/>
                <w:i/>
                <w:iCs/>
                <w:sz w:val="20"/>
                <w:szCs w:val="20"/>
              </w:rPr>
              <w:t>Volume</w:t>
            </w:r>
          </w:p>
        </w:tc>
        <w:tc>
          <w:tcPr>
            <w:tcW w:w="0" w:type="auto"/>
            <w:tcBorders>
              <w:bottom w:val="single" w:sz="4" w:space="0" w:color="auto"/>
            </w:tcBorders>
            <w:vAlign w:val="center"/>
          </w:tcPr>
          <w:p w14:paraId="13CB7E38"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The number of shares traded on a specific day</w:t>
            </w:r>
          </w:p>
        </w:tc>
        <w:tc>
          <w:tcPr>
            <w:tcW w:w="0" w:type="auto"/>
            <w:tcBorders>
              <w:bottom w:val="single" w:sz="4" w:space="0" w:color="auto"/>
            </w:tcBorders>
            <w:vAlign w:val="center"/>
          </w:tcPr>
          <w:p w14:paraId="00B5F55A" w14:textId="77777777" w:rsidR="002C1156" w:rsidRPr="002C1156" w:rsidRDefault="002C1156" w:rsidP="002C1156">
            <w:pPr>
              <w:spacing w:after="0" w:line="240" w:lineRule="auto"/>
              <w:contextualSpacing/>
              <w:rPr>
                <w:rFonts w:ascii="Times New Roman" w:hAnsi="Times New Roman"/>
                <w:sz w:val="20"/>
                <w:szCs w:val="20"/>
              </w:rPr>
            </w:pPr>
            <w:r w:rsidRPr="002C1156">
              <w:rPr>
                <w:rFonts w:ascii="Times New Roman" w:hAnsi="Times New Roman"/>
                <w:sz w:val="20"/>
                <w:szCs w:val="20"/>
              </w:rPr>
              <w:t>High volume can indicate increased interest in the stock, potentially leading to higher volatility and price changes. Low volume can suggest a lack of investor interest.</w:t>
            </w:r>
          </w:p>
        </w:tc>
      </w:tr>
    </w:tbl>
    <w:p w14:paraId="3FC52317" w14:textId="77777777" w:rsidR="008C1DAB" w:rsidRDefault="008C1DAB" w:rsidP="00916207">
      <w:pPr>
        <w:spacing w:after="0" w:line="240" w:lineRule="auto"/>
        <w:contextualSpacing/>
        <w:rPr>
          <w:rFonts w:ascii="Times New Roman" w:hAnsi="Times New Roman"/>
          <w:sz w:val="20"/>
          <w:szCs w:val="20"/>
        </w:rPr>
      </w:pPr>
    </w:p>
    <w:p w14:paraId="3B2AD82E" w14:textId="797ED19F" w:rsidR="00E455D9" w:rsidRPr="00E455D9" w:rsidRDefault="00E455D9" w:rsidP="00E455D9">
      <w:pPr>
        <w:spacing w:after="0" w:line="240" w:lineRule="auto"/>
        <w:ind w:firstLine="720"/>
        <w:contextualSpacing/>
        <w:jc w:val="both"/>
        <w:rPr>
          <w:rFonts w:ascii="Times New Roman" w:hAnsi="Times New Roman"/>
          <w:sz w:val="20"/>
          <w:szCs w:val="20"/>
        </w:rPr>
      </w:pPr>
      <w:r w:rsidRPr="00E455D9">
        <w:rPr>
          <w:rFonts w:ascii="Times New Roman" w:hAnsi="Times New Roman"/>
          <w:sz w:val="20"/>
          <w:szCs w:val="20"/>
        </w:rPr>
        <w:t xml:space="preserve">Given a historical window of length </w:t>
      </w:r>
      <w:r w:rsidRPr="00E455D9">
        <w:rPr>
          <w:rFonts w:ascii="Times New Roman" w:hAnsi="Times New Roman"/>
          <w:b/>
          <w:bCs/>
          <w:i/>
          <w:iCs/>
          <w:sz w:val="20"/>
          <w:szCs w:val="20"/>
        </w:rPr>
        <w:t>L</w:t>
      </w:r>
      <w:r w:rsidRPr="00E455D9">
        <w:rPr>
          <w:rFonts w:ascii="Times New Roman" w:hAnsi="Times New Roman"/>
          <w:sz w:val="20"/>
          <w:szCs w:val="20"/>
        </w:rPr>
        <w:t xml:space="preserve">, </w:t>
      </w:r>
      <m:oMath>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t</m:t>
            </m:r>
          </m:sub>
        </m:sSub>
        <m:r>
          <m:rPr>
            <m:sty m:val="bi"/>
          </m:rPr>
          <w:rPr>
            <w:rFonts w:ascii="Cambria Math" w:hAnsi="Cambria Math"/>
            <w:sz w:val="20"/>
            <w:szCs w:val="20"/>
          </w:rPr>
          <m:t xml:space="preserve">= </m:t>
        </m:r>
        <m:d>
          <m:dPr>
            <m:begChr m:val="{"/>
            <m:endChr m:val="}"/>
            <m:ctrlPr>
              <w:rPr>
                <w:rFonts w:ascii="Cambria Math" w:hAnsi="Cambria Math"/>
                <w:b/>
                <w:bCs/>
                <w:i/>
                <w:sz w:val="20"/>
                <w:szCs w:val="20"/>
              </w:rPr>
            </m:ctrlPr>
          </m:dPr>
          <m:e>
            <m:r>
              <m:rPr>
                <m:sty m:val="bi"/>
              </m:rPr>
              <w:rPr>
                <w:rFonts w:ascii="Cambria Math" w:hAnsi="Cambria Math"/>
                <w:sz w:val="20"/>
                <w:szCs w:val="20"/>
              </w:rPr>
              <m:t xml:space="preserve"> </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t-L+1</m:t>
                </m:r>
              </m:sub>
            </m:sSub>
            <m:r>
              <m:rPr>
                <m:sty m:val="bi"/>
              </m:rPr>
              <w:rPr>
                <w:rFonts w:ascii="Cambria Math" w:hAnsi="Cambria Math"/>
                <w:sz w:val="20"/>
                <w:szCs w:val="20"/>
              </w:rPr>
              <m:t xml:space="preserve">, … , </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t</m:t>
                </m:r>
              </m:sub>
            </m:sSub>
          </m:e>
        </m:d>
      </m:oMath>
      <w:r w:rsidRPr="00E455D9">
        <w:rPr>
          <w:rFonts w:ascii="Times New Roman" w:hAnsi="Times New Roman"/>
          <w:b/>
          <w:bCs/>
          <w:sz w:val="20"/>
          <w:szCs w:val="20"/>
        </w:rPr>
        <w:t xml:space="preserve">, </w:t>
      </w:r>
      <w:r w:rsidRPr="00E455D9">
        <w:rPr>
          <w:rFonts w:ascii="Times New Roman" w:hAnsi="Times New Roman"/>
          <w:sz w:val="20"/>
          <w:szCs w:val="20"/>
        </w:rPr>
        <w:t xml:space="preserve">the prediction task consists of estimating the next-day stock observation </w:t>
      </w:r>
      <w:r w:rsidRPr="00E455D9">
        <w:rPr>
          <w:rFonts w:ascii="Times New Roman" w:hAnsi="Times New Roman"/>
          <w:b/>
          <w:bCs/>
          <w:i/>
          <w:iCs/>
          <w:sz w:val="20"/>
          <w:szCs w:val="20"/>
        </w:rPr>
        <w:t>x</w:t>
      </w:r>
      <w:r w:rsidRPr="00E455D9">
        <w:rPr>
          <w:rFonts w:ascii="Times New Roman" w:hAnsi="Times New Roman"/>
          <w:b/>
          <w:bCs/>
          <w:i/>
          <w:iCs/>
          <w:sz w:val="20"/>
          <w:szCs w:val="20"/>
          <w:vertAlign w:val="subscript"/>
        </w:rPr>
        <w:t>t+1</w:t>
      </w:r>
      <w:r w:rsidRPr="00E455D9">
        <w:rPr>
          <w:rFonts w:ascii="Times New Roman" w:hAnsi="Times New Roman"/>
          <w:b/>
          <w:bCs/>
          <w:sz w:val="20"/>
          <w:szCs w:val="20"/>
          <w:vertAlign w:val="subscript"/>
        </w:rPr>
        <w:t xml:space="preserve"> </w:t>
      </w:r>
      <w:r w:rsidRPr="00E455D9">
        <w:rPr>
          <w:rFonts w:ascii="Times New Roman" w:hAnsi="Times New Roman"/>
          <w:b/>
          <w:bCs/>
          <w:sz w:val="20"/>
          <w:szCs w:val="20"/>
          <w:vertAlign w:val="subscript"/>
        </w:rPr>
        <w:softHyphen/>
      </w:r>
      <w:r w:rsidRPr="00E455D9">
        <w:rPr>
          <w:rFonts w:ascii="Times New Roman" w:hAnsi="Times New Roman"/>
          <w:sz w:val="20"/>
          <w:szCs w:val="20"/>
        </w:rPr>
        <w:t xml:space="preserve">(or a short prediction horizon) conditioned on historical market behavior. Simultaneously, unstructured text information that is matched to the trading period in time is processed to generate sentiment-based representations. In fact, the numerical input </w:t>
      </w:r>
      <w:r w:rsidRPr="00E455D9">
        <w:rPr>
          <w:rFonts w:ascii="Times New Roman" w:hAnsi="Times New Roman"/>
          <w:b/>
          <w:bCs/>
          <w:i/>
          <w:iCs/>
          <w:sz w:val="20"/>
          <w:szCs w:val="20"/>
        </w:rPr>
        <w:t>X</w:t>
      </w:r>
      <w:r w:rsidRPr="00E455D9">
        <w:rPr>
          <w:rFonts w:ascii="Times New Roman" w:hAnsi="Times New Roman"/>
          <w:b/>
          <w:bCs/>
          <w:i/>
          <w:iCs/>
          <w:sz w:val="20"/>
          <w:szCs w:val="20"/>
          <w:vertAlign w:val="subscript"/>
        </w:rPr>
        <w:t xml:space="preserve">t  </w:t>
      </w:r>
      <w:r w:rsidRPr="00E455D9">
        <w:rPr>
          <w:rFonts w:ascii="Times New Roman" w:hAnsi="Times New Roman"/>
          <w:sz w:val="20"/>
          <w:szCs w:val="20"/>
        </w:rPr>
        <w:t xml:space="preserve">is built as a moving multivariate window of historical observations of the stock market, with each component </w:t>
      </w:r>
      <w:proofErr w:type="spellStart"/>
      <w:r w:rsidRPr="00E455D9">
        <w:rPr>
          <w:rFonts w:ascii="Times New Roman" w:hAnsi="Times New Roman"/>
          <w:b/>
          <w:bCs/>
          <w:i/>
          <w:iCs/>
          <w:sz w:val="20"/>
          <w:szCs w:val="20"/>
        </w:rPr>
        <w:t>x</w:t>
      </w:r>
      <w:r w:rsidRPr="00E455D9">
        <w:rPr>
          <w:rFonts w:ascii="Times New Roman" w:hAnsi="Times New Roman"/>
          <w:b/>
          <w:bCs/>
          <w:i/>
          <w:iCs/>
          <w:sz w:val="20"/>
          <w:szCs w:val="20"/>
          <w:vertAlign w:val="subscript"/>
        </w:rPr>
        <w:t>t</w:t>
      </w:r>
      <w:proofErr w:type="spellEnd"/>
      <w:r w:rsidRPr="00E455D9">
        <w:rPr>
          <w:rFonts w:ascii="Times New Roman" w:hAnsi="Times New Roman"/>
          <w:sz w:val="20"/>
          <w:szCs w:val="20"/>
        </w:rPr>
        <w:t xml:space="preserve"> is associated with price- and trading-related set of attributes, as outlined in Table 1. The window moves chronologically through the trading history, maintaining the time sequence of market data and enabling the model to capture short- and medium-term correlations of stock behavior. This representation allows the learning model to utilize joint dynamics of many numerical attributes, without the underlying market process having to be stationary or linear.</w:t>
      </w:r>
    </w:p>
    <w:p w14:paraId="75B41EDF" w14:textId="5C0B752B" w:rsidR="00E455D9" w:rsidRPr="00E455D9" w:rsidRDefault="00E455D9" w:rsidP="00E455D9">
      <w:pPr>
        <w:spacing w:after="0" w:line="240" w:lineRule="auto"/>
        <w:ind w:firstLine="720"/>
        <w:contextualSpacing/>
        <w:jc w:val="both"/>
        <w:rPr>
          <w:rFonts w:ascii="Times New Roman" w:hAnsi="Times New Roman"/>
          <w:sz w:val="20"/>
          <w:szCs w:val="20"/>
        </w:rPr>
      </w:pPr>
      <w:r w:rsidRPr="00E455D9">
        <w:rPr>
          <w:rFonts w:ascii="Times New Roman" w:hAnsi="Times New Roman"/>
          <w:sz w:val="20"/>
          <w:szCs w:val="20"/>
        </w:rPr>
        <w:t xml:space="preserve">Also, let: </w:t>
      </w:r>
      <m:oMath>
        <m:sSub>
          <m:sSubPr>
            <m:ctrlPr>
              <w:rPr>
                <w:rFonts w:ascii="Cambria Math" w:hAnsi="Cambria Math"/>
                <w:b/>
                <w:bCs/>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t</m:t>
            </m:r>
          </m:sub>
        </m:sSub>
        <m:r>
          <m:rPr>
            <m:sty m:val="bi"/>
          </m:rPr>
          <w:rPr>
            <w:rFonts w:ascii="Cambria Math" w:hAnsi="Cambria Math" w:cs="Cambria Math"/>
            <w:sz w:val="20"/>
            <w:szCs w:val="20"/>
          </w:rPr>
          <m:t>∈</m:t>
        </m:r>
        <m:r>
          <m:rPr>
            <m:sty m:val="bi"/>
          </m:rPr>
          <w:rPr>
            <w:rFonts w:ascii="Cambria Math" w:hAnsi="Cambria Math"/>
            <w:sz w:val="20"/>
            <w:szCs w:val="20"/>
          </w:rPr>
          <m:t xml:space="preserve"> </m:t>
        </m:r>
        <m:sSup>
          <m:sSupPr>
            <m:ctrlPr>
              <w:rPr>
                <w:rFonts w:ascii="Cambria Math" w:hAnsi="Cambria Math"/>
                <w:b/>
                <w:bCs/>
                <w:i/>
                <w:sz w:val="20"/>
                <w:szCs w:val="20"/>
              </w:rPr>
            </m:ctrlPr>
          </m:sSupPr>
          <m:e>
            <m:r>
              <m:rPr>
                <m:scr m:val="double-struck"/>
                <m:sty m:val="bi"/>
              </m:rPr>
              <w:rPr>
                <w:rFonts w:ascii="Cambria Math" w:hAnsi="Cambria Math"/>
                <w:sz w:val="20"/>
                <w:szCs w:val="20"/>
              </w:rPr>
              <m:t>R</m:t>
            </m:r>
          </m:e>
          <m:sup>
            <m:r>
              <m:rPr>
                <m:sty m:val="bi"/>
              </m:rPr>
              <w:rPr>
                <w:rFonts w:ascii="Cambria Math" w:hAnsi="Cambria Math"/>
                <w:sz w:val="20"/>
                <w:szCs w:val="20"/>
              </w:rPr>
              <m:t>k</m:t>
            </m:r>
          </m:sup>
        </m:sSup>
      </m:oMath>
      <w:r w:rsidRPr="00E455D9">
        <w:rPr>
          <w:rFonts w:ascii="Times New Roman" w:hAnsi="Times New Roman"/>
          <w:b/>
          <w:bCs/>
          <w:sz w:val="20"/>
          <w:szCs w:val="20"/>
        </w:rPr>
        <w:t xml:space="preserve">, </w:t>
      </w:r>
      <w:r w:rsidRPr="00E455D9">
        <w:rPr>
          <w:rFonts w:ascii="Times New Roman" w:hAnsi="Times New Roman"/>
          <w:sz w:val="20"/>
          <w:szCs w:val="20"/>
        </w:rPr>
        <w:t xml:space="preserve">represent a feature vector of sentiment obtained by applying Natural Language Processing methods, such as sentiment analysis to social media posts. Such characteristics encode contextual data, which relate to market perception and investor behavior, which can have an impact on price formation but cannot be observed directly in numerical stock indicators. The learning objective is therefore formulated as modeling the conditional distribution: </w:t>
      </w:r>
      <m:oMath>
        <m:r>
          <m:rPr>
            <m:sty m:val="bi"/>
          </m:rPr>
          <w:rPr>
            <w:rFonts w:ascii="Cambria Math" w:hAnsi="Cambria Math"/>
            <w:sz w:val="20"/>
            <w:szCs w:val="20"/>
          </w:rPr>
          <m:t>p</m:t>
        </m:r>
        <m:d>
          <m:dPr>
            <m:sepChr m:val="∣"/>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x</m:t>
                </m:r>
              </m:e>
              <m:sub>
                <m:d>
                  <m:dPr>
                    <m:begChr m:val="{"/>
                    <m:endChr m:val="}"/>
                    <m:ctrlPr>
                      <w:rPr>
                        <w:rFonts w:ascii="Cambria Math" w:hAnsi="Cambria Math"/>
                        <w:b/>
                        <w:bCs/>
                        <w:i/>
                        <w:sz w:val="20"/>
                        <w:szCs w:val="20"/>
                      </w:rPr>
                    </m:ctrlPr>
                  </m:dPr>
                  <m:e>
                    <m:r>
                      <m:rPr>
                        <m:sty m:val="bi"/>
                      </m:rPr>
                      <w:rPr>
                        <w:rFonts w:ascii="Cambria Math" w:hAnsi="Cambria Math"/>
                        <w:sz w:val="20"/>
                        <w:szCs w:val="20"/>
                      </w:rPr>
                      <m:t>t+1</m:t>
                    </m:r>
                  </m:e>
                </m:d>
              </m:sub>
            </m:sSub>
          </m:e>
          <m:e>
            <m:r>
              <m:rPr>
                <m:sty m:val="bi"/>
              </m:rPr>
              <w:rPr>
                <w:rFonts w:ascii="Cambria Math" w:hAnsi="Cambria Math"/>
                <w:sz w:val="20"/>
                <w:szCs w:val="20"/>
              </w:rPr>
              <m:t xml:space="preserve"> </m:t>
            </m:r>
            <m:sSub>
              <m:sSubPr>
                <m:ctrlPr>
                  <w:rPr>
                    <w:rFonts w:ascii="Cambria Math" w:hAnsi="Cambria Math"/>
                    <w:b/>
                    <w:bCs/>
                    <w:i/>
                    <w:sz w:val="20"/>
                    <w:szCs w:val="20"/>
                  </w:rPr>
                </m:ctrlPr>
              </m:sSubPr>
              <m:e>
                <m:r>
                  <m:rPr>
                    <m:sty m:val="bi"/>
                  </m:rPr>
                  <w:rPr>
                    <w:rFonts w:ascii="Cambria Math" w:hAnsi="Cambria Math"/>
                    <w:sz w:val="20"/>
                    <w:szCs w:val="20"/>
                  </w:rPr>
                  <m:t>x</m:t>
                </m:r>
              </m:e>
              <m:sub>
                <m:d>
                  <m:dPr>
                    <m:begChr m:val="{"/>
                    <m:endChr m:val="}"/>
                    <m:ctrlPr>
                      <w:rPr>
                        <w:rFonts w:ascii="Cambria Math" w:hAnsi="Cambria Math"/>
                        <w:b/>
                        <w:bCs/>
                        <w:i/>
                        <w:sz w:val="20"/>
                        <w:szCs w:val="20"/>
                      </w:rPr>
                    </m:ctrlPr>
                  </m:dPr>
                  <m:e>
                    <m:r>
                      <m:rPr>
                        <m:sty m:val="bi"/>
                      </m:rPr>
                      <w:rPr>
                        <w:rFonts w:ascii="Cambria Math" w:hAnsi="Cambria Math"/>
                        <w:sz w:val="20"/>
                        <w:szCs w:val="20"/>
                      </w:rPr>
                      <m:t>t-L+1</m:t>
                    </m:r>
                  </m:e>
                </m:d>
              </m:sub>
            </m:sSub>
            <m:r>
              <m:rPr>
                <m:sty m:val="bi"/>
              </m:rPr>
              <w:rPr>
                <w:rFonts w:ascii="Cambria Math" w:hAnsi="Cambria Math"/>
                <w:sz w:val="20"/>
                <w:szCs w:val="20"/>
              </w:rPr>
              <m:t xml:space="preserve">, … , </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t</m:t>
                </m:r>
              </m:sub>
            </m:sSub>
            <m:r>
              <m:rPr>
                <m:sty m:val="bi"/>
              </m:rPr>
              <w:rPr>
                <w:rFonts w:ascii="Cambria Math" w:hAnsi="Cambria Math"/>
                <w:sz w:val="20"/>
                <w:szCs w:val="20"/>
              </w:rPr>
              <m:t xml:space="preserve">, </m:t>
            </m:r>
            <m:sSub>
              <m:sSubPr>
                <m:ctrlPr>
                  <w:rPr>
                    <w:rFonts w:ascii="Cambria Math" w:hAnsi="Cambria Math"/>
                    <w:b/>
                    <w:bCs/>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t</m:t>
                </m:r>
              </m:sub>
            </m:sSub>
          </m:e>
        </m:d>
      </m:oMath>
      <w:r w:rsidRPr="00E455D9">
        <w:rPr>
          <w:rFonts w:ascii="Times New Roman" w:hAnsi="Times New Roman"/>
          <w:sz w:val="20"/>
          <w:szCs w:val="20"/>
        </w:rPr>
        <w:t xml:space="preserve">, instead of working on point-wise prediction error only. In the suggested framework, the sentiment vector </w:t>
      </w:r>
      <m:oMath>
        <m:sSub>
          <m:sSubPr>
            <m:ctrlPr>
              <w:rPr>
                <w:rFonts w:ascii="Cambria Math" w:hAnsi="Cambria Math"/>
                <w:b/>
                <w:bCs/>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t</m:t>
            </m:r>
          </m:sub>
        </m:sSub>
      </m:oMath>
      <w:r w:rsidRPr="00E455D9">
        <w:rPr>
          <w:rFonts w:ascii="Times New Roman" w:hAnsi="Times New Roman"/>
          <w:sz w:val="20"/>
          <w:szCs w:val="20"/>
        </w:rPr>
        <w:t xml:space="preserve"> is treated as a built-in auxiliary conditioning signal, instead of becoming an independent predictive input. This design option permits the learning process to augment the numerical market dynamics with context information and maintains robustness when textual information becomes sparse, noisy or weakly informative.</w:t>
      </w:r>
    </w:p>
    <w:p w14:paraId="1A1139C4" w14:textId="77777777" w:rsidR="00E455D9" w:rsidRPr="00E455D9" w:rsidRDefault="00E455D9" w:rsidP="00E455D9">
      <w:pPr>
        <w:spacing w:after="0" w:line="240" w:lineRule="auto"/>
        <w:ind w:firstLine="720"/>
        <w:contextualSpacing/>
        <w:jc w:val="both"/>
        <w:rPr>
          <w:rFonts w:ascii="Times New Roman" w:hAnsi="Times New Roman"/>
          <w:sz w:val="20"/>
          <w:szCs w:val="20"/>
        </w:rPr>
      </w:pPr>
      <w:r w:rsidRPr="00E455D9">
        <w:rPr>
          <w:rFonts w:ascii="Times New Roman" w:hAnsi="Times New Roman"/>
          <w:sz w:val="20"/>
          <w:szCs w:val="20"/>
        </w:rPr>
        <w:t xml:space="preserve">The following formulation encourages the implementation of the generative modeling that would be more appropriate to capture situations like: uncertainty, regime changes, and the distributional characteristics that are usually encountered in financial markets. In this regard, the proposed framework utilizes a Generative Adversarial Network (GAN), where a generator </w:t>
      </w:r>
      <w:r w:rsidRPr="00E455D9">
        <w:rPr>
          <w:rFonts w:ascii="Times New Roman" w:hAnsi="Times New Roman"/>
          <w:b/>
          <w:i/>
          <w:iCs/>
          <w:sz w:val="20"/>
          <w:szCs w:val="20"/>
        </w:rPr>
        <w:t>G</w:t>
      </w:r>
      <w:r w:rsidRPr="00E455D9">
        <w:rPr>
          <w:rFonts w:ascii="Times New Roman" w:hAnsi="Times New Roman"/>
          <w:sz w:val="20"/>
          <w:szCs w:val="20"/>
        </w:rPr>
        <w:t xml:space="preserve"> </w:t>
      </w:r>
      <w:r w:rsidRPr="00E455D9">
        <w:rPr>
          <w:rFonts w:ascii="Times New Roman" w:hAnsi="Times New Roman"/>
          <w:sz w:val="20"/>
          <w:szCs w:val="20"/>
        </w:rPr>
        <w:t>is trained to generate realistic future stock observations given the historical numerical data as well as contextual features based on sentiment analysis.</w:t>
      </w:r>
    </w:p>
    <w:p w14:paraId="21E1C549" w14:textId="2E4C3E6D" w:rsidR="00E455D9" w:rsidRPr="00E455D9" w:rsidRDefault="00E455D9" w:rsidP="00E455D9">
      <w:pPr>
        <w:spacing w:after="0" w:line="240" w:lineRule="auto"/>
        <w:ind w:firstLine="720"/>
        <w:contextualSpacing/>
        <w:jc w:val="both"/>
        <w:rPr>
          <w:rFonts w:ascii="Times New Roman" w:hAnsi="Times New Roman"/>
          <w:iCs/>
          <w:sz w:val="20"/>
          <w:szCs w:val="20"/>
        </w:rPr>
      </w:pPr>
      <w:r w:rsidRPr="00E455D9">
        <w:rPr>
          <w:rFonts w:ascii="Times New Roman" w:hAnsi="Times New Roman"/>
          <w:sz w:val="20"/>
          <w:szCs w:val="20"/>
        </w:rPr>
        <w:t xml:space="preserve">On a high level, </w:t>
      </w:r>
      <w:r w:rsidRPr="00E455D9">
        <w:rPr>
          <w:rFonts w:ascii="Times New Roman" w:hAnsi="Times New Roman"/>
          <w:b/>
          <w:bCs/>
          <w:i/>
          <w:iCs/>
          <w:sz w:val="20"/>
          <w:szCs w:val="20"/>
        </w:rPr>
        <w:t>G</w:t>
      </w:r>
      <w:r w:rsidRPr="00E455D9">
        <w:rPr>
          <w:rFonts w:ascii="Times New Roman" w:hAnsi="Times New Roman"/>
          <w:sz w:val="20"/>
          <w:szCs w:val="20"/>
        </w:rPr>
        <w:t xml:space="preserve"> applies a mapping of the form:  </w:t>
      </w:r>
      <m:oMath>
        <m:sSub>
          <m:sSubPr>
            <m:ctrlPr>
              <w:rPr>
                <w:rFonts w:ascii="Cambria Math" w:hAnsi="Cambria Math"/>
                <w:sz w:val="20"/>
                <w:szCs w:val="20"/>
              </w:rPr>
            </m:ctrlPr>
          </m:sSubPr>
          <m:e>
            <m:acc>
              <m:accPr>
                <m:ctrlPr>
                  <w:rPr>
                    <w:rFonts w:ascii="Cambria Math" w:hAnsi="Cambria Math"/>
                    <w:sz w:val="20"/>
                    <w:szCs w:val="20"/>
                  </w:rPr>
                </m:ctrlPr>
              </m:accPr>
              <m:e>
                <m:r>
                  <m:rPr>
                    <m:sty m:val="bi"/>
                  </m:rPr>
                  <w:rPr>
                    <w:rFonts w:ascii="Cambria Math" w:hAnsi="Cambria Math"/>
                    <w:sz w:val="20"/>
                    <w:szCs w:val="20"/>
                  </w:rPr>
                  <m:t>x</m:t>
                </m:r>
              </m:e>
            </m:acc>
          </m:e>
          <m:sub>
            <m:r>
              <m:rPr>
                <m:sty m:val="bi"/>
              </m:rPr>
              <w:rPr>
                <w:rFonts w:ascii="Cambria Math" w:hAnsi="Cambria Math"/>
                <w:sz w:val="20"/>
                <w:szCs w:val="20"/>
              </w:rPr>
              <m:t>t</m:t>
            </m:r>
            <m:r>
              <m:rPr>
                <m:sty m:val="p"/>
              </m:rPr>
              <w:rPr>
                <w:rFonts w:ascii="Cambria Math" w:hAnsi="Cambria Math"/>
                <w:sz w:val="20"/>
                <w:szCs w:val="20"/>
              </w:rPr>
              <m:t>+</m:t>
            </m:r>
            <m:r>
              <m:rPr>
                <m:sty m:val="b"/>
              </m:rPr>
              <w:rPr>
                <w:rFonts w:ascii="Cambria Math" w:hAnsi="Cambria Math"/>
                <w:sz w:val="20"/>
                <w:szCs w:val="20"/>
              </w:rPr>
              <m:t>1</m:t>
            </m:r>
          </m:sub>
        </m:sSub>
        <m:r>
          <m:rPr>
            <m:sty m:val="p"/>
          </m:rPr>
          <w:rPr>
            <w:rFonts w:ascii="Cambria Math" w:hAnsi="Cambria Math"/>
            <w:sz w:val="20"/>
            <w:szCs w:val="20"/>
          </w:rPr>
          <m:t xml:space="preserve">= </m:t>
        </m:r>
        <m:r>
          <m:rPr>
            <m:sty m:val="bi"/>
          </m:rPr>
          <w:rPr>
            <w:rFonts w:ascii="Cambria Math" w:hAnsi="Cambria Math"/>
            <w:sz w:val="20"/>
            <w:szCs w:val="20"/>
          </w:rPr>
          <m:t>G</m:t>
        </m:r>
        <m:d>
          <m:dPr>
            <m:ctrlPr>
              <w:rPr>
                <w:rFonts w:ascii="Cambria Math" w:hAnsi="Cambria Math"/>
                <w:sz w:val="20"/>
                <w:szCs w:val="20"/>
              </w:rPr>
            </m:ctrlPr>
          </m:dPr>
          <m:e>
            <m:sSub>
              <m:sSubPr>
                <m:ctrlPr>
                  <w:rPr>
                    <w:rFonts w:ascii="Cambria Math" w:hAnsi="Cambria Math"/>
                    <w:sz w:val="20"/>
                    <w:szCs w:val="20"/>
                  </w:rPr>
                </m:ctrlPr>
              </m:sSubPr>
              <m:e>
                <m:r>
                  <m:rPr>
                    <m:sty m:val="bi"/>
                  </m:rPr>
                  <w:rPr>
                    <w:rFonts w:ascii="Cambria Math" w:hAnsi="Cambria Math"/>
                    <w:sz w:val="20"/>
                    <w:szCs w:val="20"/>
                  </w:rPr>
                  <m:t>X</m:t>
                </m:r>
              </m:e>
              <m:sub>
                <m:r>
                  <m:rPr>
                    <m:sty m:val="bi"/>
                  </m:rPr>
                  <w:rPr>
                    <w:rFonts w:ascii="Cambria Math" w:hAnsi="Cambria Math"/>
                    <w:sz w:val="20"/>
                    <w:szCs w:val="20"/>
                  </w:rPr>
                  <m:t>t</m:t>
                </m:r>
              </m:sub>
            </m:sSub>
            <m:r>
              <m:rPr>
                <m:sty m:val="p"/>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s</m:t>
                </m:r>
              </m:e>
              <m:sub>
                <m:r>
                  <m:rPr>
                    <m:sty m:val="bi"/>
                  </m:rPr>
                  <w:rPr>
                    <w:rFonts w:ascii="Cambria Math" w:hAnsi="Cambria Math"/>
                    <w:sz w:val="20"/>
                    <w:szCs w:val="20"/>
                  </w:rPr>
                  <m:t>t</m:t>
                </m:r>
              </m:sub>
            </m:sSub>
          </m:e>
        </m:d>
      </m:oMath>
      <w:r w:rsidRPr="00E455D9">
        <w:rPr>
          <w:rFonts w:ascii="Times New Roman" w:hAnsi="Times New Roman"/>
          <w:sz w:val="20"/>
          <w:szCs w:val="20"/>
        </w:rPr>
        <w:t xml:space="preserve">, in contrast to a discriminator </w:t>
      </w:r>
      <w:r w:rsidRPr="00E455D9">
        <w:rPr>
          <w:rFonts w:ascii="Times New Roman" w:hAnsi="Times New Roman"/>
          <w:b/>
          <w:i/>
          <w:iCs/>
          <w:sz w:val="20"/>
          <w:szCs w:val="20"/>
        </w:rPr>
        <w:t>D</w:t>
      </w:r>
      <w:r w:rsidRPr="00E455D9">
        <w:rPr>
          <w:rFonts w:ascii="Times New Roman" w:hAnsi="Times New Roman"/>
          <w:bCs/>
          <w:sz w:val="20"/>
          <w:szCs w:val="20"/>
        </w:rPr>
        <w:t>,</w:t>
      </w:r>
      <w:r w:rsidRPr="00E455D9">
        <w:rPr>
          <w:rFonts w:ascii="Times New Roman" w:hAnsi="Times New Roman"/>
          <w:sz w:val="20"/>
          <w:szCs w:val="20"/>
        </w:rPr>
        <w:t xml:space="preserve"> which looks at the plausibility of an observation </w:t>
      </w:r>
      <w:r w:rsidRPr="00E455D9">
        <w:rPr>
          <w:rFonts w:ascii="Times New Roman" w:hAnsi="Times New Roman"/>
          <w:b/>
          <w:i/>
          <w:iCs/>
          <w:sz w:val="20"/>
          <w:szCs w:val="20"/>
        </w:rPr>
        <w:t>x</w:t>
      </w:r>
      <w:r w:rsidRPr="00E455D9">
        <w:rPr>
          <w:rFonts w:ascii="Times New Roman" w:hAnsi="Times New Roman"/>
          <w:sz w:val="20"/>
          <w:szCs w:val="20"/>
        </w:rPr>
        <w:t xml:space="preserve"> by estimating: </w:t>
      </w:r>
      <m:oMath>
        <m:r>
          <m:rPr>
            <m:sty m:val="bi"/>
          </m:rPr>
          <w:rPr>
            <w:rFonts w:ascii="Cambria Math" w:hAnsi="Cambria Math" w:hint="eastAsia"/>
            <w:sz w:val="20"/>
            <w:szCs w:val="20"/>
          </w:rPr>
          <m:t>D</m:t>
        </m:r>
        <m:d>
          <m:dPr>
            <m:ctrlPr>
              <w:rPr>
                <w:rFonts w:ascii="Cambria Math" w:hAnsi="Cambria Math"/>
                <w:b/>
                <w:bCs/>
                <w:i/>
                <w:sz w:val="20"/>
                <w:szCs w:val="20"/>
              </w:rPr>
            </m:ctrlPr>
          </m:dPr>
          <m:e>
            <m:r>
              <m:rPr>
                <m:sty m:val="bi"/>
              </m:rPr>
              <w:rPr>
                <w:rFonts w:ascii="Cambria Math" w:hAnsi="Cambria Math" w:hint="eastAsia"/>
                <w:sz w:val="20"/>
                <w:szCs w:val="20"/>
              </w:rPr>
              <m:t xml:space="preserve">x, </m:t>
            </m:r>
            <m:sSub>
              <m:sSubPr>
                <m:ctrlPr>
                  <w:rPr>
                    <w:rFonts w:ascii="Cambria Math" w:hAnsi="Cambria Math"/>
                    <w:b/>
                    <w:bCs/>
                    <w:i/>
                    <w:sz w:val="20"/>
                    <w:szCs w:val="20"/>
                  </w:rPr>
                </m:ctrlPr>
              </m:sSubPr>
              <m:e>
                <m:r>
                  <m:rPr>
                    <m:sty m:val="bi"/>
                  </m:rPr>
                  <w:rPr>
                    <w:rFonts w:ascii="Cambria Math" w:hAnsi="Cambria Math" w:hint="eastAsia"/>
                    <w:sz w:val="20"/>
                    <w:szCs w:val="20"/>
                  </w:rPr>
                  <m:t>X</m:t>
                </m:r>
              </m:e>
              <m:sub>
                <m:r>
                  <m:rPr>
                    <m:sty m:val="bi"/>
                  </m:rPr>
                  <w:rPr>
                    <w:rFonts w:ascii="Cambria Math" w:hAnsi="Cambria Math" w:hint="eastAsia"/>
                    <w:sz w:val="20"/>
                    <w:szCs w:val="20"/>
                  </w:rPr>
                  <m:t>t</m:t>
                </m:r>
              </m:sub>
            </m:sSub>
            <m:r>
              <m:rPr>
                <m:sty m:val="bi"/>
              </m:rPr>
              <w:rPr>
                <w:rFonts w:ascii="Cambria Math" w:hAnsi="Cambria Math" w:hint="eastAsia"/>
                <w:sz w:val="20"/>
                <w:szCs w:val="20"/>
              </w:rPr>
              <m:t xml:space="preserve">, </m:t>
            </m:r>
            <m:sSub>
              <m:sSubPr>
                <m:ctrlPr>
                  <w:rPr>
                    <w:rFonts w:ascii="Cambria Math" w:hAnsi="Cambria Math"/>
                    <w:b/>
                    <w:bCs/>
                    <w:i/>
                    <w:sz w:val="20"/>
                    <w:szCs w:val="20"/>
                  </w:rPr>
                </m:ctrlPr>
              </m:sSubPr>
              <m:e>
                <m:r>
                  <m:rPr>
                    <m:sty m:val="bi"/>
                  </m:rPr>
                  <w:rPr>
                    <w:rFonts w:ascii="Cambria Math" w:hAnsi="Cambria Math" w:hint="eastAsia"/>
                    <w:sz w:val="20"/>
                    <w:szCs w:val="20"/>
                  </w:rPr>
                  <m:t>s</m:t>
                </m:r>
              </m:e>
              <m:sub>
                <m:r>
                  <m:rPr>
                    <m:sty m:val="bi"/>
                  </m:rPr>
                  <w:rPr>
                    <w:rFonts w:ascii="Cambria Math" w:hAnsi="Cambria Math" w:hint="eastAsia"/>
                    <w:sz w:val="20"/>
                    <w:szCs w:val="20"/>
                  </w:rPr>
                  <m:t>t</m:t>
                </m:r>
              </m:sub>
            </m:sSub>
          </m:e>
        </m:d>
        <m:r>
          <m:rPr>
            <m:sty m:val="bi"/>
          </m:rPr>
          <w:rPr>
            <w:rFonts w:ascii="Cambria Math" w:hAnsi="Cambria Math" w:cs="Cambria Math"/>
            <w:sz w:val="20"/>
            <w:szCs w:val="20"/>
          </w:rPr>
          <m:t>∈</m:t>
        </m:r>
        <m:r>
          <m:rPr>
            <m:sty m:val="bi"/>
          </m:rPr>
          <w:rPr>
            <w:rFonts w:ascii="Cambria Math" w:hAnsi="Cambria Math" w:hint="eastAsia"/>
            <w:sz w:val="20"/>
            <w:szCs w:val="20"/>
          </w:rPr>
          <m:t xml:space="preserve"> </m:t>
        </m:r>
        <m:d>
          <m:dPr>
            <m:begChr m:val="["/>
            <m:endChr m:val="]"/>
            <m:ctrlPr>
              <w:rPr>
                <w:rFonts w:ascii="Cambria Math" w:hAnsi="Cambria Math"/>
                <w:b/>
                <w:bCs/>
                <w:i/>
                <w:sz w:val="20"/>
                <w:szCs w:val="20"/>
              </w:rPr>
            </m:ctrlPr>
          </m:dPr>
          <m:e>
            <m:r>
              <m:rPr>
                <m:sty m:val="bi"/>
              </m:rPr>
              <w:rPr>
                <w:rFonts w:ascii="Cambria Math" w:hAnsi="Cambria Math" w:hint="eastAsia"/>
                <w:sz w:val="20"/>
                <w:szCs w:val="20"/>
              </w:rPr>
              <m:t>0, 1</m:t>
            </m:r>
          </m:e>
        </m:d>
        <m:r>
          <w:rPr>
            <w:rFonts w:ascii="Cambria Math" w:hAnsi="Cambria Math"/>
            <w:sz w:val="20"/>
            <w:szCs w:val="20"/>
          </w:rPr>
          <m:t xml:space="preserve">, </m:t>
        </m:r>
      </m:oMath>
      <w:r w:rsidRPr="00E455D9">
        <w:rPr>
          <w:rFonts w:ascii="Times New Roman" w:hAnsi="Times New Roman"/>
          <w:sz w:val="20"/>
          <w:szCs w:val="20"/>
        </w:rPr>
        <w:t xml:space="preserve">indicating whether the input corresponds to a real or generated sample conditioned on historical market behavior and sentiment information. Through adversarial feedback provided by </w:t>
      </w:r>
      <w:r w:rsidRPr="00E455D9">
        <w:rPr>
          <w:rFonts w:ascii="Times New Roman" w:hAnsi="Times New Roman"/>
          <w:b/>
          <w:i/>
          <w:iCs/>
          <w:sz w:val="20"/>
          <w:szCs w:val="20"/>
        </w:rPr>
        <w:t>D</w:t>
      </w:r>
      <w:r w:rsidRPr="00E455D9">
        <w:rPr>
          <w:rFonts w:ascii="Times New Roman" w:hAnsi="Times New Roman"/>
          <w:sz w:val="20"/>
          <w:szCs w:val="20"/>
        </w:rPr>
        <w:t xml:space="preserve">, the generator progressively improves its ability to produce context-aware and temporally coherent stock predictions. </w:t>
      </w:r>
      <w:r w:rsidRPr="00E455D9">
        <w:rPr>
          <w:rFonts w:ascii="Times New Roman" w:hAnsi="Times New Roman"/>
          <w:iCs/>
          <w:sz w:val="20"/>
          <w:szCs w:val="20"/>
        </w:rPr>
        <w:t xml:space="preserve">This concept gives the model the ability to collectively utilize the time market and situational sentiment information, without the constraining assumptions of linearity and stationarity of classical statistical models. Moreover, the framework can be made to incorporate sentiment information as an auxiliary conditioning signal, as opposed to an independent predictor, which makes it resilient during times when textual signals can be scarce, noisy, or poorly informative. Fig. 1 offers a conceptual description of the above and provides an illustration of the main aspects of our hybrid </w:t>
      </w:r>
      <w:r w:rsidRPr="00E455D9">
        <w:rPr>
          <w:rFonts w:ascii="Times New Roman" w:hAnsi="Times New Roman"/>
          <w:b/>
          <w:i/>
          <w:sz w:val="20"/>
          <w:szCs w:val="20"/>
        </w:rPr>
        <w:t>G/D/</w:t>
      </w:r>
      <m:oMath>
        <m:sSub>
          <m:sSubPr>
            <m:ctrlPr>
              <w:rPr>
                <w:rFonts w:ascii="Cambria Math" w:hAnsi="Cambria Math"/>
                <w:b/>
                <w:i/>
                <w:sz w:val="20"/>
                <w:szCs w:val="20"/>
              </w:rPr>
            </m:ctrlPr>
          </m:sSubPr>
          <m:e>
            <m:r>
              <m:rPr>
                <m:sty m:val="bi"/>
              </m:rPr>
              <w:rPr>
                <w:rFonts w:ascii="Cambria Math" w:hAnsi="Cambria Math"/>
                <w:sz w:val="20"/>
                <w:szCs w:val="20"/>
              </w:rPr>
              <m:t>s</m:t>
            </m:r>
          </m:e>
          <m:sub>
            <m:r>
              <m:rPr>
                <m:sty m:val="bi"/>
              </m:rPr>
              <w:rPr>
                <w:rFonts w:ascii="Cambria Math" w:hAnsi="Cambria Math"/>
                <w:sz w:val="20"/>
                <w:szCs w:val="20"/>
              </w:rPr>
              <m:t>t</m:t>
            </m:r>
          </m:sub>
        </m:sSub>
        <m:r>
          <w:rPr>
            <w:rFonts w:ascii="Cambria Math" w:hAnsi="Cambria Math"/>
            <w:sz w:val="20"/>
            <w:szCs w:val="20"/>
          </w:rPr>
          <m:t xml:space="preserve">  (</m:t>
        </m:r>
      </m:oMath>
      <w:r w:rsidRPr="00E455D9">
        <w:rPr>
          <w:rFonts w:ascii="Times New Roman" w:hAnsi="Times New Roman"/>
          <w:iCs/>
          <w:sz w:val="20"/>
          <w:szCs w:val="20"/>
        </w:rPr>
        <w:t>Generator – Discriminator – Sentiment) interaction on which the training of the GAN is based.</w:t>
      </w:r>
    </w:p>
    <w:p w14:paraId="127375AD" w14:textId="12B98212" w:rsidR="00916207" w:rsidRDefault="006031D2" w:rsidP="0062718E">
      <w:pPr>
        <w:spacing w:after="0" w:line="240" w:lineRule="auto"/>
        <w:contextualSpacing/>
        <w:jc w:val="center"/>
        <w:rPr>
          <w:rFonts w:ascii="Times New Roman" w:hAnsi="Times New Roman"/>
          <w:sz w:val="20"/>
          <w:szCs w:val="20"/>
        </w:rPr>
      </w:pPr>
      <w:r>
        <w:rPr>
          <w:iCs/>
          <w:noProof/>
          <w:lang w:val="el-GR" w:eastAsia="el-GR"/>
        </w:rPr>
        <w:lastRenderedPageBreak/>
        <w:drawing>
          <wp:inline distT="0" distB="0" distL="0" distR="0" wp14:anchorId="71BF9D04" wp14:editId="36D4762C">
            <wp:extent cx="4554747" cy="3036498"/>
            <wp:effectExtent l="0" t="0" r="0" b="0"/>
            <wp:docPr id="2" name="Εικόνα 2" descr="Εικόνα που περιέχει κείμενο, στιγμιότυπο οθόνης, γραμματοσειρά,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στιγμιότυπο οθόνης, γραμματοσειρά, διάγραμμα&#10;&#10;Περιγραφή που δημιουργήθηκε αυτόματα"/>
                    <pic:cNvPicPr/>
                  </pic:nvPicPr>
                  <pic:blipFill>
                    <a:blip r:embed="rId9"/>
                    <a:stretch>
                      <a:fillRect/>
                    </a:stretch>
                  </pic:blipFill>
                  <pic:spPr>
                    <a:xfrm>
                      <a:off x="0" y="0"/>
                      <a:ext cx="4566098" cy="3044065"/>
                    </a:xfrm>
                    <a:prstGeom prst="rect">
                      <a:avLst/>
                    </a:prstGeom>
                  </pic:spPr>
                </pic:pic>
              </a:graphicData>
            </a:graphic>
          </wp:inline>
        </w:drawing>
      </w:r>
    </w:p>
    <w:p w14:paraId="763AAF09" w14:textId="5484FCDA" w:rsidR="006031D2" w:rsidRDefault="006031D2" w:rsidP="006031D2">
      <w:pPr>
        <w:spacing w:after="0" w:line="240" w:lineRule="auto"/>
        <w:jc w:val="center"/>
        <w:rPr>
          <w:rFonts w:ascii="Times New Roman" w:hAnsi="Times New Roman"/>
          <w:bCs/>
          <w:i/>
          <w:iCs/>
          <w:sz w:val="20"/>
          <w:szCs w:val="20"/>
        </w:rPr>
      </w:pPr>
      <w:r w:rsidRPr="00C955C2">
        <w:rPr>
          <w:rFonts w:ascii="Times New Roman" w:hAnsi="Times New Roman"/>
          <w:b/>
          <w:sz w:val="20"/>
          <w:szCs w:val="20"/>
        </w:rPr>
        <w:t>Figure 1:</w:t>
      </w:r>
      <w:r w:rsidRPr="00C955C2">
        <w:rPr>
          <w:rFonts w:ascii="Times New Roman" w:hAnsi="Times New Roman"/>
          <w:sz w:val="20"/>
          <w:szCs w:val="20"/>
        </w:rPr>
        <w:t xml:space="preserve">  </w:t>
      </w:r>
      <w:r w:rsidR="00944DD0" w:rsidRPr="00944DD0">
        <w:rPr>
          <w:rFonts w:ascii="Times New Roman" w:hAnsi="Times New Roman"/>
          <w:bCs/>
          <w:i/>
          <w:iCs/>
          <w:sz w:val="20"/>
          <w:szCs w:val="20"/>
        </w:rPr>
        <w:t>The composite formulation of our hybrid GAN model allows the model to share and collectively explore temporal dependencies, contextual sentiment cues and adversarial feedback during training</w:t>
      </w:r>
    </w:p>
    <w:p w14:paraId="0CE52BF0" w14:textId="4ED34983" w:rsidR="00F72B2F" w:rsidRDefault="00F72B2F" w:rsidP="006031D2">
      <w:pPr>
        <w:spacing w:after="0" w:line="240" w:lineRule="auto"/>
        <w:jc w:val="center"/>
        <w:rPr>
          <w:rFonts w:ascii="Times New Roman" w:hAnsi="Times New Roman"/>
          <w:bCs/>
          <w:i/>
          <w:iCs/>
          <w:sz w:val="20"/>
          <w:szCs w:val="20"/>
        </w:rPr>
      </w:pPr>
    </w:p>
    <w:p w14:paraId="3D828DC1" w14:textId="403C9790" w:rsidR="00F72B2F" w:rsidRPr="00994441" w:rsidRDefault="00180FF5" w:rsidP="00F72B2F">
      <w:pPr>
        <w:pStyle w:val="a3"/>
        <w:numPr>
          <w:ilvl w:val="0"/>
          <w:numId w:val="4"/>
        </w:numPr>
        <w:spacing w:after="0" w:line="240" w:lineRule="auto"/>
        <w:ind w:left="360"/>
        <w:jc w:val="center"/>
        <w:rPr>
          <w:rFonts w:ascii="Times New Roman" w:hAnsi="Times New Roman"/>
          <w:sz w:val="20"/>
          <w:szCs w:val="20"/>
        </w:rPr>
      </w:pPr>
      <w:r>
        <w:rPr>
          <w:rFonts w:ascii="Times New Roman" w:hAnsi="Times New Roman"/>
          <w:b/>
          <w:szCs w:val="20"/>
        </w:rPr>
        <w:t>EXPERIMENTAL EVALUATION</w:t>
      </w:r>
    </w:p>
    <w:p w14:paraId="190172E6" w14:textId="77777777" w:rsidR="00B07F0E" w:rsidRPr="00B07F0E" w:rsidRDefault="00B07F0E" w:rsidP="00542E90">
      <w:pPr>
        <w:spacing w:after="0" w:line="240" w:lineRule="auto"/>
        <w:contextualSpacing/>
        <w:jc w:val="both"/>
        <w:rPr>
          <w:rFonts w:ascii="Times New Roman" w:hAnsi="Times New Roman"/>
          <w:sz w:val="20"/>
          <w:szCs w:val="20"/>
        </w:rPr>
      </w:pPr>
      <w:r w:rsidRPr="00B07F0E">
        <w:rPr>
          <w:rFonts w:ascii="Times New Roman" w:hAnsi="Times New Roman"/>
          <w:sz w:val="20"/>
          <w:szCs w:val="20"/>
        </w:rPr>
        <w:t>4.1 Data Sources and Preprocessing</w:t>
      </w:r>
    </w:p>
    <w:p w14:paraId="67A19BC6" w14:textId="77777777" w:rsidR="00B07F0E" w:rsidRPr="00B07F0E" w:rsidRDefault="00B07F0E" w:rsidP="00B07F0E">
      <w:pPr>
        <w:spacing w:after="0" w:line="240" w:lineRule="auto"/>
        <w:ind w:firstLine="720"/>
        <w:contextualSpacing/>
        <w:jc w:val="both"/>
        <w:rPr>
          <w:rFonts w:ascii="Times New Roman" w:hAnsi="Times New Roman"/>
          <w:sz w:val="20"/>
          <w:szCs w:val="20"/>
        </w:rPr>
      </w:pPr>
      <w:r w:rsidRPr="00B07F0E">
        <w:rPr>
          <w:rFonts w:ascii="Times New Roman" w:hAnsi="Times New Roman"/>
          <w:sz w:val="20"/>
          <w:szCs w:val="20"/>
        </w:rPr>
        <w:t xml:space="preserve">The assessment comprises the large-cap U.S. equities that are usually linked with high liquidity and strong market effects. More precisely, the discussion is conducted on seven representative stocks, namely: </w:t>
      </w:r>
      <w:r w:rsidRPr="00B07F0E">
        <w:rPr>
          <w:rFonts w:ascii="Times New Roman" w:hAnsi="Times New Roman"/>
          <w:i/>
          <w:iCs/>
          <w:sz w:val="20"/>
          <w:szCs w:val="20"/>
        </w:rPr>
        <w:t>Apple (AAPL), Microsoft (MSFT), Amazon (AMZN), Alphabet (GOOGL), Meta Platforms (META), Tesla (TSLA), and Nvidia (NVDA)</w:t>
      </w:r>
      <w:r w:rsidRPr="00B07F0E">
        <w:rPr>
          <w:rFonts w:ascii="Times New Roman" w:hAnsi="Times New Roman"/>
          <w:sz w:val="20"/>
          <w:szCs w:val="20"/>
        </w:rPr>
        <w:t>. The evaluation design relies on numerical market data and textual sentiment information, both described below:</w:t>
      </w:r>
    </w:p>
    <w:p w14:paraId="3DE1D9F0" w14:textId="77777777" w:rsidR="00B07F0E" w:rsidRPr="00B07F0E" w:rsidRDefault="00B07F0E" w:rsidP="00B07F0E">
      <w:pPr>
        <w:spacing w:after="0" w:line="240" w:lineRule="auto"/>
        <w:ind w:firstLine="720"/>
        <w:contextualSpacing/>
        <w:jc w:val="both"/>
        <w:rPr>
          <w:rFonts w:ascii="Times New Roman" w:hAnsi="Times New Roman"/>
          <w:sz w:val="20"/>
          <w:szCs w:val="20"/>
        </w:rPr>
      </w:pPr>
      <w:bookmarkStart w:id="2" w:name="_Hlk219836343"/>
      <w:r w:rsidRPr="00B07F0E">
        <w:rPr>
          <w:rFonts w:ascii="Times New Roman" w:hAnsi="Times New Roman"/>
          <w:b/>
          <w:bCs/>
          <w:sz w:val="20"/>
          <w:szCs w:val="20"/>
        </w:rPr>
        <w:t xml:space="preserve">a) Numerical market data: </w:t>
      </w:r>
      <w:r w:rsidRPr="00B07F0E">
        <w:rPr>
          <w:rFonts w:ascii="Times New Roman" w:hAnsi="Times New Roman"/>
          <w:sz w:val="20"/>
          <w:szCs w:val="20"/>
        </w:rPr>
        <w:t>The stock market data are obtained on a daily basis through Yahoo Finance</w:t>
      </w:r>
      <w:r w:rsidRPr="00B07F0E">
        <w:rPr>
          <w:rFonts w:ascii="Times New Roman" w:hAnsi="Times New Roman"/>
          <w:sz w:val="20"/>
          <w:szCs w:val="20"/>
          <w:vertAlign w:val="superscript"/>
        </w:rPr>
        <w:footnoteReference w:id="1"/>
      </w:r>
      <w:r w:rsidRPr="00B07F0E">
        <w:rPr>
          <w:rFonts w:ascii="Times New Roman" w:hAnsi="Times New Roman"/>
          <w:sz w:val="20"/>
          <w:szCs w:val="20"/>
        </w:rPr>
        <w:t xml:space="preserve"> and are composed of the attributes described in Table 1 (Section 3). The information is sorted in time order, and it includes trading days only. Redundant records are eliminated, and missing values are looked into and processed to maintain temporal continuity. Feature selection is used to keep the variables associated with price and trading that are important in the prediction. </w:t>
      </w:r>
      <w:bookmarkEnd w:id="2"/>
      <w:r w:rsidRPr="00B07F0E">
        <w:rPr>
          <w:rFonts w:ascii="Times New Roman" w:hAnsi="Times New Roman"/>
          <w:sz w:val="20"/>
          <w:szCs w:val="20"/>
        </w:rPr>
        <w:t>Before model training, numerical features are used in Min-Max scaling and the scaling parameters are estimated only on the training subset and then applied to validation and test data to avoid information leakage.</w:t>
      </w:r>
    </w:p>
    <w:p w14:paraId="1C72B251" w14:textId="77777777" w:rsidR="00B07F0E" w:rsidRPr="00B07F0E" w:rsidRDefault="00B07F0E" w:rsidP="00B07F0E">
      <w:pPr>
        <w:spacing w:after="0" w:line="240" w:lineRule="auto"/>
        <w:ind w:firstLine="720"/>
        <w:contextualSpacing/>
        <w:jc w:val="both"/>
        <w:rPr>
          <w:rFonts w:ascii="Times New Roman" w:hAnsi="Times New Roman"/>
          <w:sz w:val="20"/>
          <w:szCs w:val="20"/>
        </w:rPr>
      </w:pPr>
      <w:r w:rsidRPr="00B07F0E">
        <w:rPr>
          <w:rFonts w:ascii="Times New Roman" w:hAnsi="Times New Roman"/>
          <w:b/>
          <w:bCs/>
          <w:sz w:val="20"/>
          <w:szCs w:val="20"/>
        </w:rPr>
        <w:t xml:space="preserve">b) Textual and sentiment data: </w:t>
      </w:r>
      <w:r w:rsidRPr="00B07F0E">
        <w:rPr>
          <w:rFonts w:ascii="Times New Roman" w:hAnsi="Times New Roman"/>
          <w:sz w:val="20"/>
          <w:szCs w:val="20"/>
        </w:rPr>
        <w:t>The textual data for the stocks under study, are gathered from posts on social media (tweets) retrieved through the Twitter (X) platform</w:t>
      </w:r>
      <w:r w:rsidRPr="00B07F0E">
        <w:rPr>
          <w:rFonts w:ascii="Times New Roman" w:hAnsi="Times New Roman"/>
          <w:sz w:val="20"/>
          <w:szCs w:val="20"/>
          <w:vertAlign w:val="superscript"/>
        </w:rPr>
        <w:footnoteReference w:id="2"/>
      </w:r>
      <w:r w:rsidRPr="00B07F0E">
        <w:rPr>
          <w:rFonts w:ascii="Times New Roman" w:hAnsi="Times New Roman"/>
          <w:sz w:val="20"/>
          <w:szCs w:val="20"/>
        </w:rPr>
        <w:t xml:space="preserve">. Sentiment is then extracted from the raw text using “cleaning” procedures which include normalization and noise elimination. Sentiment analysis is done through VADER (Valence Aware Dictionary and sEntiment Reasoner) lexicon-based approach, storing only the sentiment score of the compounds and matched to the correspondent trading days. In case where there exist several text entries to the same day, these are combined into one daily sentiment representation to allow compatibility with the daily frequency of the numerical data. </w:t>
      </w:r>
    </w:p>
    <w:p w14:paraId="772F9701" w14:textId="77777777" w:rsidR="00B07F0E" w:rsidRPr="00B07F0E" w:rsidRDefault="00B07F0E" w:rsidP="00B07F0E">
      <w:pPr>
        <w:spacing w:after="0" w:line="240" w:lineRule="auto"/>
        <w:ind w:firstLine="720"/>
        <w:contextualSpacing/>
        <w:jc w:val="both"/>
        <w:rPr>
          <w:rFonts w:ascii="Times New Roman" w:hAnsi="Times New Roman"/>
          <w:sz w:val="20"/>
          <w:szCs w:val="20"/>
        </w:rPr>
      </w:pPr>
      <w:r w:rsidRPr="00B07F0E">
        <w:rPr>
          <w:rFonts w:ascii="Times New Roman" w:hAnsi="Times New Roman"/>
          <w:sz w:val="20"/>
          <w:szCs w:val="20"/>
        </w:rPr>
        <w:t>All preprocessing procedures are uniformly applied to assets and evaluation settings in order to guarantee reproducibility and fair comparison.</w:t>
      </w:r>
    </w:p>
    <w:p w14:paraId="490F2B8A" w14:textId="77777777" w:rsidR="00645395" w:rsidRDefault="00645395" w:rsidP="00645395">
      <w:pPr>
        <w:spacing w:after="0" w:line="240" w:lineRule="auto"/>
        <w:contextualSpacing/>
        <w:jc w:val="both"/>
        <w:rPr>
          <w:rFonts w:ascii="Times New Roman" w:hAnsi="Times New Roman"/>
          <w:sz w:val="20"/>
          <w:szCs w:val="20"/>
        </w:rPr>
      </w:pPr>
    </w:p>
    <w:p w14:paraId="77C0E970" w14:textId="66062612" w:rsidR="00B07F0E" w:rsidRPr="00B07F0E" w:rsidRDefault="00B07F0E" w:rsidP="00645395">
      <w:pPr>
        <w:spacing w:after="0" w:line="240" w:lineRule="auto"/>
        <w:contextualSpacing/>
        <w:jc w:val="both"/>
        <w:rPr>
          <w:rFonts w:ascii="Times New Roman" w:hAnsi="Times New Roman"/>
          <w:sz w:val="20"/>
          <w:szCs w:val="20"/>
        </w:rPr>
      </w:pPr>
      <w:r w:rsidRPr="00B07F0E">
        <w:rPr>
          <w:rFonts w:ascii="Times New Roman" w:hAnsi="Times New Roman"/>
          <w:sz w:val="20"/>
          <w:szCs w:val="20"/>
        </w:rPr>
        <w:t>4.2 Evaluation Protocol</w:t>
      </w:r>
    </w:p>
    <w:p w14:paraId="3EC85311" w14:textId="77777777" w:rsidR="00B07F0E" w:rsidRPr="00B07F0E" w:rsidRDefault="00B07F0E" w:rsidP="00B07F0E">
      <w:pPr>
        <w:spacing w:after="0" w:line="240" w:lineRule="auto"/>
        <w:ind w:firstLine="720"/>
        <w:contextualSpacing/>
        <w:jc w:val="both"/>
        <w:rPr>
          <w:rFonts w:ascii="Times New Roman" w:hAnsi="Times New Roman"/>
          <w:sz w:val="20"/>
          <w:szCs w:val="20"/>
        </w:rPr>
      </w:pPr>
      <w:r w:rsidRPr="00B07F0E">
        <w:rPr>
          <w:rFonts w:ascii="Times New Roman" w:hAnsi="Times New Roman"/>
          <w:sz w:val="20"/>
          <w:szCs w:val="20"/>
        </w:rPr>
        <w:t>The testing of the suggested framework is presented here in a systematic process that indicates the modeling and evaluation decisions that were made. The primary points of the assessment plan that uses two base models (ARIMA and LSTM) compared to our approach are outlined below:</w:t>
      </w:r>
    </w:p>
    <w:p w14:paraId="262783E0"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t>Temporal data partitioning</w:t>
      </w:r>
      <w:r w:rsidRPr="00B07F0E">
        <w:rPr>
          <w:rFonts w:ascii="Times New Roman" w:hAnsi="Times New Roman"/>
          <w:sz w:val="20"/>
          <w:szCs w:val="20"/>
        </w:rPr>
        <w:t>: in all models, the observations of the stock prices are arranged in a chronological order to maintain causality in time. There is no random shuffling at any point of assessment. Different out-of-sample partitioning strategies are used depending on model type, as discussed below, as well as on the different modeling needs and evaluation practices of each approach.</w:t>
      </w:r>
    </w:p>
    <w:p w14:paraId="54FAF3E7"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lastRenderedPageBreak/>
        <w:t>Model-specific data splits</w:t>
      </w:r>
      <w:r w:rsidRPr="00B07F0E">
        <w:rPr>
          <w:rFonts w:ascii="Times New Roman" w:hAnsi="Times New Roman"/>
          <w:sz w:val="20"/>
          <w:szCs w:val="20"/>
        </w:rPr>
        <w:t xml:space="preserve">: </w:t>
      </w:r>
      <w:r w:rsidRPr="00B07F0E">
        <w:rPr>
          <w:rFonts w:ascii="Times New Roman" w:hAnsi="Times New Roman"/>
          <w:b/>
          <w:bCs/>
          <w:sz w:val="20"/>
          <w:szCs w:val="20"/>
        </w:rPr>
        <w:t>a)</w:t>
      </w:r>
      <w:r w:rsidRPr="00B07F0E">
        <w:rPr>
          <w:rFonts w:ascii="Times New Roman" w:hAnsi="Times New Roman"/>
          <w:sz w:val="20"/>
          <w:szCs w:val="20"/>
        </w:rPr>
        <w:t xml:space="preserve"> in the case of the ARIMA baseline, around 90% of available observations are utilized in fitting the model, and the remaining 10%, which is the latest portion of the time series, is set aside to be used in out-of-sample testing, </w:t>
      </w:r>
      <w:r w:rsidRPr="00B07F0E">
        <w:rPr>
          <w:rFonts w:ascii="Times New Roman" w:hAnsi="Times New Roman"/>
          <w:b/>
          <w:bCs/>
          <w:sz w:val="20"/>
          <w:szCs w:val="20"/>
        </w:rPr>
        <w:t>b)</w:t>
      </w:r>
      <w:r w:rsidRPr="00B07F0E">
        <w:rPr>
          <w:rFonts w:ascii="Times New Roman" w:hAnsi="Times New Roman"/>
          <w:sz w:val="20"/>
          <w:szCs w:val="20"/>
        </w:rPr>
        <w:t xml:space="preserve"> in the case of the LSTM model, the time-varying data is separated into training and test data in the ratio of 70% and 30%, respectively and </w:t>
      </w:r>
      <w:r w:rsidRPr="00B07F0E">
        <w:rPr>
          <w:rFonts w:ascii="Times New Roman" w:hAnsi="Times New Roman"/>
          <w:b/>
          <w:bCs/>
          <w:sz w:val="20"/>
          <w:szCs w:val="20"/>
        </w:rPr>
        <w:t>c)</w:t>
      </w:r>
      <w:r w:rsidRPr="00B07F0E">
        <w:rPr>
          <w:rFonts w:ascii="Times New Roman" w:hAnsi="Times New Roman"/>
          <w:sz w:val="20"/>
          <w:szCs w:val="20"/>
        </w:rPr>
        <w:t xml:space="preserve"> in our GAN-based model, the final 20 observations of each time series are kept to make the evaluation, and the rest of the data are utilized to train the model. It is a decision that allows the generation and observed values to be directly compared over a predetermined period of prediction. These partitioning methods are used to make sure that any evaluation is done in a strictly out-of-sample manner and corresponds to realistic forecasting conditions.</w:t>
      </w:r>
    </w:p>
    <w:p w14:paraId="3A6BC25B"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t>Prediction task definition:</w:t>
      </w:r>
      <w:r w:rsidRPr="00B07F0E">
        <w:rPr>
          <w:rFonts w:ascii="Times New Roman" w:hAnsi="Times New Roman"/>
          <w:sz w:val="20"/>
          <w:szCs w:val="20"/>
        </w:rPr>
        <w:t xml:space="preserve"> Evaluation of all models is done on a one-step-ahead forecasting task. For each trading day </w:t>
      </w:r>
      <w:r w:rsidRPr="00B07F0E">
        <w:rPr>
          <w:rFonts w:ascii="Times New Roman" w:hAnsi="Times New Roman"/>
          <w:b/>
          <w:bCs/>
          <w:i/>
          <w:iCs/>
          <w:sz w:val="20"/>
          <w:szCs w:val="20"/>
        </w:rPr>
        <w:t>t</w:t>
      </w:r>
      <w:r w:rsidRPr="00B07F0E">
        <w:rPr>
          <w:rFonts w:ascii="Times New Roman" w:hAnsi="Times New Roman"/>
          <w:sz w:val="20"/>
          <w:szCs w:val="20"/>
        </w:rPr>
        <w:t>, it is based on available information (up to time) to generate predictions of the next trading day. The models maintain the same prediction horizon so that the predictive accuracy can be compared directly.</w:t>
      </w:r>
    </w:p>
    <w:p w14:paraId="530BE3F1"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t>Models under evaluation</w:t>
      </w:r>
      <w:r w:rsidRPr="00B07F0E">
        <w:rPr>
          <w:rFonts w:ascii="Times New Roman" w:hAnsi="Times New Roman"/>
          <w:sz w:val="20"/>
          <w:szCs w:val="20"/>
        </w:rPr>
        <w:t>: The analysis considers three types of models, namely:</w:t>
      </w:r>
    </w:p>
    <w:p w14:paraId="0A3467F3"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 xml:space="preserve"> A statistical ARIMA-based baseline, which incorporates linear time-dependencies in stock prices (Billings and Yang 2006). The parameters of ARIMA models are chosen by mixing an information criterion and automated order selection and stationarity tests.</w:t>
      </w:r>
    </w:p>
    <w:p w14:paraId="17848F20"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 xml:space="preserve"> A Long Short-Term Memory (LSTM) network-based deep learning baseline, which aims to learn nonlinear sequential behavior of numerical stock data. </w:t>
      </w:r>
    </w:p>
    <w:p w14:paraId="53737ACB"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 xml:space="preserve"> Our suggested GAN-based model with sentiment conditioning the framework, which approximates the conditional distribution of future stocks’ prices based on historical numerical data and contextual sentiment analysis. Each of the models is tested with temporally aligned data of the same stock “universe”.</w:t>
      </w:r>
    </w:p>
    <w:p w14:paraId="103A921E"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t>Model training configuration</w:t>
      </w:r>
      <w:r w:rsidRPr="00B07F0E">
        <w:rPr>
          <w:rFonts w:ascii="Times New Roman" w:hAnsi="Times New Roman"/>
          <w:sz w:val="20"/>
          <w:szCs w:val="20"/>
        </w:rPr>
        <w:t xml:space="preserve">: The models based on neural networks are trained with fixed configurations that are aligned with the original study. In the LSTM model, early stopping and scheduling the learning rate, is used during training phase to enhance convergence stability (Kim et al. 2021; </w:t>
      </w:r>
      <w:proofErr w:type="spellStart"/>
      <w:r w:rsidRPr="00B07F0E">
        <w:rPr>
          <w:rFonts w:ascii="Times New Roman" w:hAnsi="Times New Roman"/>
          <w:sz w:val="20"/>
          <w:szCs w:val="20"/>
        </w:rPr>
        <w:t>Prechelt</w:t>
      </w:r>
      <w:proofErr w:type="spellEnd"/>
      <w:r w:rsidRPr="00B07F0E">
        <w:rPr>
          <w:rFonts w:ascii="Times New Roman" w:hAnsi="Times New Roman"/>
          <w:sz w:val="20"/>
          <w:szCs w:val="20"/>
        </w:rPr>
        <w:t xml:space="preserve"> 2012), thus in the GAN-based model, the numerical price values are brought to the range: </w:t>
      </w:r>
      <w:r w:rsidRPr="00B07F0E">
        <w:rPr>
          <w:rFonts w:ascii="Times New Roman" w:hAnsi="Times New Roman"/>
          <w:b/>
          <w:bCs/>
          <w:i/>
          <w:iCs/>
          <w:sz w:val="20"/>
          <w:szCs w:val="20"/>
        </w:rPr>
        <w:t>(-1, 1)</w:t>
      </w:r>
      <w:r w:rsidRPr="00B07F0E">
        <w:rPr>
          <w:rFonts w:ascii="Times New Roman" w:hAnsi="Times New Roman"/>
          <w:sz w:val="20"/>
          <w:szCs w:val="20"/>
        </w:rPr>
        <w:t>. The training is done with the fixed batch size of 5, and the prediction period of one trading day. Parameters of scaling are obtained based on the training data and reused at evaluation.</w:t>
      </w:r>
    </w:p>
    <w:p w14:paraId="3204509B" w14:textId="77777777" w:rsidR="00B07F0E" w:rsidRPr="00B07F0E" w:rsidRDefault="00B07F0E" w:rsidP="00B07F0E">
      <w:pPr>
        <w:numPr>
          <w:ilvl w:val="0"/>
          <w:numId w:val="10"/>
        </w:numPr>
        <w:spacing w:after="0" w:line="240" w:lineRule="auto"/>
        <w:contextualSpacing/>
        <w:jc w:val="both"/>
        <w:rPr>
          <w:rFonts w:ascii="Times New Roman" w:hAnsi="Times New Roman"/>
          <w:sz w:val="20"/>
          <w:szCs w:val="20"/>
        </w:rPr>
      </w:pPr>
      <w:r w:rsidRPr="00B07F0E">
        <w:rPr>
          <w:rFonts w:ascii="Times New Roman" w:hAnsi="Times New Roman"/>
          <w:b/>
          <w:bCs/>
          <w:sz w:val="20"/>
          <w:szCs w:val="20"/>
        </w:rPr>
        <w:t>Evaluation metrics</w:t>
      </w:r>
      <w:r w:rsidRPr="00B07F0E">
        <w:rPr>
          <w:rFonts w:ascii="Times New Roman" w:hAnsi="Times New Roman"/>
          <w:sz w:val="20"/>
          <w:szCs w:val="20"/>
        </w:rPr>
        <w:t>: The predictive performance is determined through standard regression-based measures that are widely used in the stock price forecasting, such as:</w:t>
      </w:r>
    </w:p>
    <w:p w14:paraId="6A951DA0"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Mean Absolute Error (MAE)</w:t>
      </w:r>
    </w:p>
    <w:p w14:paraId="759E82BA"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Mean Squared Error (MSE)</w:t>
      </w:r>
    </w:p>
    <w:p w14:paraId="5D0A0038"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Root Mean Squared Error (RMSE)</w:t>
      </w:r>
    </w:p>
    <w:p w14:paraId="63B75EDA" w14:textId="77777777" w:rsidR="00B07F0E" w:rsidRPr="00B07F0E" w:rsidRDefault="00B07F0E" w:rsidP="00B07F0E">
      <w:pPr>
        <w:numPr>
          <w:ilvl w:val="1"/>
          <w:numId w:val="10"/>
        </w:numPr>
        <w:spacing w:after="0" w:line="240" w:lineRule="auto"/>
        <w:contextualSpacing/>
        <w:jc w:val="both"/>
        <w:rPr>
          <w:rFonts w:ascii="Times New Roman" w:hAnsi="Times New Roman"/>
          <w:sz w:val="20"/>
          <w:szCs w:val="20"/>
        </w:rPr>
      </w:pPr>
      <w:r w:rsidRPr="00B07F0E">
        <w:rPr>
          <w:rFonts w:ascii="Times New Roman" w:hAnsi="Times New Roman"/>
          <w:sz w:val="20"/>
          <w:szCs w:val="20"/>
        </w:rPr>
        <w:t>Mean Absolute Percentage Error (MAPE), where applicable.</w:t>
      </w:r>
    </w:p>
    <w:p w14:paraId="0CBEAA5D" w14:textId="1ECBDB9B" w:rsidR="00B07F0E" w:rsidRPr="00B07F0E" w:rsidRDefault="00B07F0E" w:rsidP="00A64C98">
      <w:pPr>
        <w:spacing w:after="0" w:line="240" w:lineRule="auto"/>
        <w:contextualSpacing/>
        <w:jc w:val="both"/>
        <w:rPr>
          <w:rFonts w:ascii="Times New Roman" w:hAnsi="Times New Roman"/>
          <w:sz w:val="20"/>
          <w:szCs w:val="20"/>
        </w:rPr>
      </w:pPr>
      <w:r w:rsidRPr="00B07F0E">
        <w:rPr>
          <w:rFonts w:ascii="Times New Roman" w:hAnsi="Times New Roman"/>
          <w:sz w:val="20"/>
          <w:szCs w:val="20"/>
        </w:rPr>
        <w:t>All metrics are only calculated using held-out evaluation data and reported uniformly across stocks and models. Fig</w:t>
      </w:r>
      <w:r w:rsidR="002C3F62">
        <w:rPr>
          <w:rFonts w:ascii="Times New Roman" w:hAnsi="Times New Roman"/>
          <w:sz w:val="20"/>
          <w:szCs w:val="20"/>
        </w:rPr>
        <w:t>.</w:t>
      </w:r>
      <w:r w:rsidRPr="00B07F0E">
        <w:rPr>
          <w:rFonts w:ascii="Times New Roman" w:hAnsi="Times New Roman"/>
          <w:sz w:val="20"/>
          <w:szCs w:val="20"/>
        </w:rPr>
        <w:t xml:space="preserve"> 2 summarizes the evaluation workflow adopted in this study.</w:t>
      </w:r>
    </w:p>
    <w:p w14:paraId="3B0DB685" w14:textId="2172C9FC" w:rsidR="00B07F0E" w:rsidRPr="00110F12" w:rsidRDefault="00A64C98" w:rsidP="00750BA8">
      <w:pPr>
        <w:spacing w:after="0" w:line="240" w:lineRule="auto"/>
        <w:contextualSpacing/>
        <w:jc w:val="center"/>
        <w:rPr>
          <w:rFonts w:ascii="Times New Roman" w:hAnsi="Times New Roman"/>
          <w:sz w:val="20"/>
          <w:szCs w:val="20"/>
        </w:rPr>
      </w:pPr>
      <w:r>
        <w:rPr>
          <w:noProof/>
          <w:lang w:val="el-GR" w:eastAsia="el-GR"/>
        </w:rPr>
        <w:drawing>
          <wp:inline distT="0" distB="0" distL="0" distR="0" wp14:anchorId="4BBB98DC" wp14:editId="73A74539">
            <wp:extent cx="5771199" cy="2199736"/>
            <wp:effectExtent l="0" t="0" r="0" b="0"/>
            <wp:docPr id="6" name="Εικόνα 6"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στιγμιότυπο οθόνης, γραμματοσειρά&#10;&#10;Περιγραφή που δημιουργήθηκε αυτόματα"/>
                    <pic:cNvPicPr/>
                  </pic:nvPicPr>
                  <pic:blipFill rotWithShape="1">
                    <a:blip r:embed="rId10" cstate="print">
                      <a:extLst>
                        <a:ext uri="{28A0092B-C50C-407E-A947-70E740481C1C}">
                          <a14:useLocalDpi xmlns:a14="http://schemas.microsoft.com/office/drawing/2010/main" val="0"/>
                        </a:ext>
                      </a:extLst>
                    </a:blip>
                    <a:srcRect t="19001" b="23814"/>
                    <a:stretch/>
                  </pic:blipFill>
                  <pic:spPr bwMode="auto">
                    <a:xfrm>
                      <a:off x="0" y="0"/>
                      <a:ext cx="5776131" cy="2201616"/>
                    </a:xfrm>
                    <a:prstGeom prst="rect">
                      <a:avLst/>
                    </a:prstGeom>
                    <a:ln>
                      <a:noFill/>
                    </a:ln>
                    <a:extLst>
                      <a:ext uri="{53640926-AAD7-44D8-BBD7-CCE9431645EC}">
                        <a14:shadowObscured xmlns:a14="http://schemas.microsoft.com/office/drawing/2010/main"/>
                      </a:ext>
                    </a:extLst>
                  </pic:spPr>
                </pic:pic>
              </a:graphicData>
            </a:graphic>
          </wp:inline>
        </w:drawing>
      </w:r>
    </w:p>
    <w:p w14:paraId="322F024E" w14:textId="2EC66A2C" w:rsidR="007826F6" w:rsidRDefault="007826F6" w:rsidP="007826F6">
      <w:pPr>
        <w:spacing w:after="0" w:line="240" w:lineRule="auto"/>
        <w:jc w:val="center"/>
        <w:rPr>
          <w:rFonts w:ascii="Times New Roman" w:hAnsi="Times New Roman"/>
          <w:bCs/>
          <w:i/>
          <w:iCs/>
          <w:sz w:val="20"/>
          <w:szCs w:val="20"/>
        </w:rPr>
      </w:pPr>
      <w:r w:rsidRPr="00C955C2">
        <w:rPr>
          <w:rFonts w:ascii="Times New Roman" w:hAnsi="Times New Roman"/>
          <w:b/>
          <w:sz w:val="20"/>
          <w:szCs w:val="20"/>
        </w:rPr>
        <w:t xml:space="preserve">Figure </w:t>
      </w:r>
      <w:r>
        <w:rPr>
          <w:rFonts w:ascii="Times New Roman" w:hAnsi="Times New Roman"/>
          <w:b/>
          <w:sz w:val="20"/>
          <w:szCs w:val="20"/>
        </w:rPr>
        <w:t>2</w:t>
      </w:r>
      <w:r w:rsidRPr="00C955C2">
        <w:rPr>
          <w:rFonts w:ascii="Times New Roman" w:hAnsi="Times New Roman"/>
          <w:b/>
          <w:sz w:val="20"/>
          <w:szCs w:val="20"/>
        </w:rPr>
        <w:t>:</w:t>
      </w:r>
      <w:r w:rsidRPr="00C955C2">
        <w:rPr>
          <w:rFonts w:ascii="Times New Roman" w:hAnsi="Times New Roman"/>
          <w:sz w:val="20"/>
          <w:szCs w:val="20"/>
        </w:rPr>
        <w:t xml:space="preserve">  </w:t>
      </w:r>
      <w:r w:rsidR="0062718E" w:rsidRPr="0062718E">
        <w:rPr>
          <w:rFonts w:ascii="Times New Roman" w:hAnsi="Times New Roman"/>
          <w:bCs/>
          <w:i/>
          <w:iCs/>
          <w:sz w:val="20"/>
          <w:szCs w:val="20"/>
        </w:rPr>
        <w:t>Overview of the evaluation workflow adopted in this study, illustrating data preprocessing, temporal partitioning, model assessment, and performance evaluation</w:t>
      </w:r>
    </w:p>
    <w:p w14:paraId="3C9DD426" w14:textId="0DE07DF7" w:rsidR="00916207" w:rsidRPr="00F72B2F" w:rsidRDefault="00916207" w:rsidP="00916207">
      <w:pPr>
        <w:spacing w:after="0" w:line="240" w:lineRule="auto"/>
        <w:contextualSpacing/>
        <w:rPr>
          <w:rFonts w:ascii="Times New Roman" w:hAnsi="Times New Roman"/>
          <w:sz w:val="20"/>
          <w:szCs w:val="20"/>
        </w:rPr>
      </w:pPr>
    </w:p>
    <w:p w14:paraId="784D1D22" w14:textId="4163883A" w:rsidR="00916207" w:rsidRDefault="00916207" w:rsidP="00916207">
      <w:pPr>
        <w:spacing w:after="0" w:line="240" w:lineRule="auto"/>
        <w:contextualSpacing/>
        <w:rPr>
          <w:rFonts w:ascii="Times New Roman" w:hAnsi="Times New Roman"/>
          <w:sz w:val="20"/>
          <w:szCs w:val="20"/>
        </w:rPr>
      </w:pPr>
    </w:p>
    <w:p w14:paraId="7317983C" w14:textId="4C94B895" w:rsidR="009627DA" w:rsidRPr="00994441" w:rsidRDefault="00E52164" w:rsidP="009627DA">
      <w:pPr>
        <w:pStyle w:val="a3"/>
        <w:numPr>
          <w:ilvl w:val="0"/>
          <w:numId w:val="4"/>
        </w:numPr>
        <w:spacing w:after="0" w:line="240" w:lineRule="auto"/>
        <w:ind w:left="360"/>
        <w:jc w:val="center"/>
        <w:rPr>
          <w:rFonts w:ascii="Times New Roman" w:hAnsi="Times New Roman"/>
          <w:sz w:val="20"/>
          <w:szCs w:val="20"/>
        </w:rPr>
      </w:pPr>
      <w:r>
        <w:rPr>
          <w:rFonts w:ascii="Times New Roman" w:hAnsi="Times New Roman"/>
          <w:b/>
          <w:szCs w:val="20"/>
        </w:rPr>
        <w:t>RESULTS AND PERFORMANCE ANALYSIS</w:t>
      </w:r>
    </w:p>
    <w:p w14:paraId="315484AE" w14:textId="488EB4BD" w:rsidR="0023796F" w:rsidRDefault="0023796F" w:rsidP="00FA77BA">
      <w:pPr>
        <w:spacing w:after="0" w:line="240" w:lineRule="auto"/>
        <w:ind w:firstLine="720"/>
        <w:contextualSpacing/>
        <w:jc w:val="both"/>
        <w:rPr>
          <w:rFonts w:ascii="Times New Roman" w:hAnsi="Times New Roman"/>
          <w:sz w:val="20"/>
          <w:szCs w:val="20"/>
        </w:rPr>
      </w:pPr>
      <w:r w:rsidRPr="0023796F">
        <w:rPr>
          <w:rFonts w:ascii="Times New Roman" w:hAnsi="Times New Roman"/>
          <w:sz w:val="20"/>
          <w:szCs w:val="20"/>
        </w:rPr>
        <w:t xml:space="preserve">Our work aims to create a predictive framework of stock market data that can be run in non-stationary, noisy and volatile conditions and at the same time make use of contextual information that is represented by unstructured textual information. Historical numerical patterns alone influence stock prices, but exogenous </w:t>
      </w:r>
      <w:r w:rsidRPr="0023796F">
        <w:rPr>
          <w:rFonts w:ascii="Times New Roman" w:hAnsi="Times New Roman"/>
          <w:sz w:val="20"/>
          <w:szCs w:val="20"/>
        </w:rPr>
        <w:lastRenderedPageBreak/>
        <w:t>information, including market sentiment and collective perception, cannot be directly reflected by numerical indicators. The purpose of the proposed approach is, therefore, to combine numerical market data of stocks and sentiment-based contextual information in a single learning model.</w:t>
      </w:r>
    </w:p>
    <w:p w14:paraId="35CB61D1"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 xml:space="preserve">This Section presents the empirical findings derived from the evaluation protocol in Section 4. All evaluation tests share the same preprocessing steps, temporal data partitioning strategies and one step ahead forecasting setup to ensure strictly out-of-sample evaluation and comparison between models and assets. The analysis is done in a consistent way for the seven large-cap U.S. equities examined, using the same evaluation metrics. </w:t>
      </w:r>
    </w:p>
    <w:p w14:paraId="56746B3D" w14:textId="17F4AFC7" w:rsid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The proposed sentiment-conditioned GAN framework is compared with two baselines: a statistical ARIMA model and a deep learning-based LSTM model. Predictive performance is evaluated only on held-out test data based on standard regression measures (MAE, MSE, RMSE and MAPE where applicable), which provides the possibility of systematically comparing the forecasting performance and robustness under realistic market conditions.</w:t>
      </w:r>
    </w:p>
    <w:p w14:paraId="2108364B" w14:textId="77777777" w:rsidR="002427DD" w:rsidRPr="00463617" w:rsidRDefault="002427DD" w:rsidP="00463617">
      <w:pPr>
        <w:spacing w:after="0" w:line="240" w:lineRule="auto"/>
        <w:ind w:firstLine="720"/>
        <w:contextualSpacing/>
        <w:jc w:val="both"/>
        <w:rPr>
          <w:rFonts w:ascii="Times New Roman" w:hAnsi="Times New Roman"/>
          <w:sz w:val="20"/>
          <w:szCs w:val="20"/>
        </w:rPr>
      </w:pPr>
    </w:p>
    <w:p w14:paraId="4B42D49B" w14:textId="77777777" w:rsidR="00463617" w:rsidRPr="00463617" w:rsidRDefault="00463617" w:rsidP="00463617">
      <w:pPr>
        <w:spacing w:after="0" w:line="240" w:lineRule="auto"/>
        <w:contextualSpacing/>
        <w:jc w:val="both"/>
        <w:rPr>
          <w:rFonts w:ascii="Times New Roman" w:hAnsi="Times New Roman"/>
          <w:sz w:val="20"/>
          <w:szCs w:val="20"/>
        </w:rPr>
      </w:pPr>
      <w:r w:rsidRPr="00463617">
        <w:rPr>
          <w:rFonts w:ascii="Times New Roman" w:hAnsi="Times New Roman"/>
          <w:sz w:val="20"/>
          <w:szCs w:val="20"/>
        </w:rPr>
        <w:t>5.1 Comparative Forecasting Performance</w:t>
      </w:r>
    </w:p>
    <w:p w14:paraId="5DE32928"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In this subsection, a comparative analysis of the forecasting performance of the three modeling methods that are considered in this paper, i.e., the ARIMA baseline, the LSTM-based deep learning model and our sentiment-conditioned GAN modeling framework is provided. Table 2 presents the predictive performance of all the models based on the conventional regression statistics, which are MAE, MSE, RMSE, and MAPE where applicable. The findings suggest none of the models perform equally well across all assets, but our sentiment-conditioned GAN model shows a consistently high performance in a number of instances, especially in those stocks with higher volatility and stronger sentiment-driven dynamics. Here, inclusion of the sentiment information seems to improve the capacity of the model to reflect short-term dynamics in the market that would otherwise not be possible with pure numbers.</w:t>
      </w:r>
    </w:p>
    <w:p w14:paraId="6EAEBE1E"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The LSTM baseline is competitive on the stocks with a more predictable time-frequency structure, and in many cases, it performs better than the statistical ARIMA model in terms of errors’ size. Although the ARIMA is an appropriate model for linear dependencies, it has relatively large errors in prediction compared to the neural methods, especially during periods of high market variability. It is mentioned that, in the case of NVDA, only ARIMA and LSTM models are reported to have results because our sentiment-conditioned GAN modeling framework was not tested on this asset.</w:t>
      </w:r>
    </w:p>
    <w:p w14:paraId="40C075E4" w14:textId="77777777" w:rsidR="00463617" w:rsidRPr="00463617" w:rsidRDefault="00463617" w:rsidP="00463617">
      <w:pPr>
        <w:spacing w:after="0" w:line="240" w:lineRule="auto"/>
        <w:ind w:firstLine="720"/>
        <w:contextualSpacing/>
        <w:jc w:val="both"/>
        <w:rPr>
          <w:rFonts w:ascii="Times New Roman" w:hAnsi="Times New Roman"/>
          <w:b/>
          <w:bCs/>
          <w:sz w:val="20"/>
          <w:szCs w:val="20"/>
        </w:rPr>
      </w:pPr>
    </w:p>
    <w:p w14:paraId="3277825F" w14:textId="091DAE5D" w:rsidR="00463617" w:rsidRPr="00463617" w:rsidRDefault="00463617" w:rsidP="005072C3">
      <w:pPr>
        <w:spacing w:after="0" w:line="240" w:lineRule="auto"/>
        <w:contextualSpacing/>
        <w:jc w:val="center"/>
        <w:rPr>
          <w:rFonts w:ascii="Times New Roman" w:hAnsi="Times New Roman"/>
          <w:sz w:val="20"/>
          <w:szCs w:val="20"/>
        </w:rPr>
      </w:pPr>
      <w:r w:rsidRPr="00463617">
        <w:rPr>
          <w:rFonts w:ascii="Times New Roman" w:hAnsi="Times New Roman"/>
          <w:b/>
          <w:bCs/>
          <w:sz w:val="20"/>
          <w:szCs w:val="20"/>
        </w:rPr>
        <w:t>Table</w:t>
      </w:r>
      <w:r w:rsidRPr="00463617">
        <w:rPr>
          <w:rFonts w:ascii="Times New Roman" w:hAnsi="Times New Roman"/>
          <w:sz w:val="20"/>
          <w:szCs w:val="20"/>
        </w:rPr>
        <w:t xml:space="preserve"> </w:t>
      </w:r>
      <w:r w:rsidRPr="00463617">
        <w:rPr>
          <w:rFonts w:ascii="Times New Roman" w:hAnsi="Times New Roman"/>
          <w:b/>
          <w:bCs/>
          <w:sz w:val="20"/>
          <w:szCs w:val="20"/>
        </w:rPr>
        <w:t>2</w:t>
      </w:r>
      <w:r w:rsidR="00122A01">
        <w:rPr>
          <w:rFonts w:ascii="Times New Roman" w:hAnsi="Times New Roman"/>
          <w:b/>
          <w:bCs/>
          <w:sz w:val="20"/>
          <w:szCs w:val="20"/>
        </w:rPr>
        <w:t>:</w:t>
      </w:r>
      <w:r w:rsidRPr="00463617">
        <w:rPr>
          <w:rFonts w:ascii="Times New Roman" w:hAnsi="Times New Roman"/>
          <w:sz w:val="20"/>
          <w:szCs w:val="20"/>
        </w:rPr>
        <w:t xml:space="preserve"> Comparative Forecasting Performance</w:t>
      </w:r>
    </w:p>
    <w:tbl>
      <w:tblPr>
        <w:tblW w:w="0" w:type="auto"/>
        <w:jc w:val="center"/>
        <w:tblLook w:val="04A0" w:firstRow="1" w:lastRow="0" w:firstColumn="1" w:lastColumn="0" w:noHBand="0" w:noVBand="1"/>
      </w:tblPr>
      <w:tblGrid>
        <w:gridCol w:w="1160"/>
        <w:gridCol w:w="1546"/>
        <w:gridCol w:w="901"/>
        <w:gridCol w:w="1030"/>
        <w:gridCol w:w="858"/>
        <w:gridCol w:w="901"/>
      </w:tblGrid>
      <w:tr w:rsidR="005072C3" w:rsidRPr="008B1FC9" w14:paraId="210F8D5D" w14:textId="77777777" w:rsidTr="00942BDE">
        <w:trPr>
          <w:trHeight w:val="293"/>
          <w:jc w:val="center"/>
        </w:trPr>
        <w:tc>
          <w:tcPr>
            <w:tcW w:w="1160" w:type="dxa"/>
            <w:tcBorders>
              <w:top w:val="single" w:sz="4" w:space="0" w:color="auto"/>
              <w:bottom w:val="single" w:sz="8" w:space="0" w:color="auto"/>
            </w:tcBorders>
          </w:tcPr>
          <w:p w14:paraId="29F95E85" w14:textId="77777777" w:rsidR="008B1FC9" w:rsidRPr="008B1FC9" w:rsidRDefault="008B1FC9" w:rsidP="006C32CE">
            <w:pPr>
              <w:spacing w:after="0" w:line="276" w:lineRule="auto"/>
              <w:contextualSpacing/>
              <w:jc w:val="both"/>
              <w:rPr>
                <w:rFonts w:ascii="Times New Roman" w:hAnsi="Times New Roman"/>
                <w:b/>
                <w:bCs/>
                <w:sz w:val="20"/>
                <w:szCs w:val="20"/>
              </w:rPr>
            </w:pPr>
            <w:r w:rsidRPr="008B1FC9">
              <w:rPr>
                <w:rFonts w:ascii="Times New Roman" w:hAnsi="Times New Roman"/>
                <w:b/>
                <w:bCs/>
                <w:sz w:val="20"/>
                <w:szCs w:val="20"/>
              </w:rPr>
              <w:t>Stock</w:t>
            </w:r>
          </w:p>
        </w:tc>
        <w:tc>
          <w:tcPr>
            <w:tcW w:w="1546" w:type="dxa"/>
            <w:tcBorders>
              <w:top w:val="single" w:sz="4" w:space="0" w:color="auto"/>
              <w:bottom w:val="single" w:sz="8" w:space="0" w:color="auto"/>
            </w:tcBorders>
          </w:tcPr>
          <w:p w14:paraId="5EABE77C" w14:textId="77777777" w:rsidR="008B1FC9" w:rsidRPr="008B1FC9" w:rsidRDefault="008B1FC9" w:rsidP="006C32CE">
            <w:pPr>
              <w:spacing w:after="0" w:line="276" w:lineRule="auto"/>
              <w:ind w:right="596" w:firstLine="174"/>
              <w:contextualSpacing/>
              <w:rPr>
                <w:rFonts w:ascii="Times New Roman" w:hAnsi="Times New Roman"/>
                <w:b/>
                <w:bCs/>
                <w:sz w:val="20"/>
                <w:szCs w:val="20"/>
              </w:rPr>
            </w:pPr>
            <w:r w:rsidRPr="008B1FC9">
              <w:rPr>
                <w:rFonts w:ascii="Times New Roman" w:hAnsi="Times New Roman"/>
                <w:b/>
                <w:bCs/>
                <w:sz w:val="20"/>
                <w:szCs w:val="20"/>
              </w:rPr>
              <w:t>Model</w:t>
            </w:r>
          </w:p>
        </w:tc>
        <w:tc>
          <w:tcPr>
            <w:tcW w:w="901" w:type="dxa"/>
            <w:tcBorders>
              <w:top w:val="single" w:sz="4" w:space="0" w:color="auto"/>
              <w:bottom w:val="single" w:sz="8" w:space="0" w:color="auto"/>
            </w:tcBorders>
          </w:tcPr>
          <w:p w14:paraId="03DC71B8" w14:textId="77777777" w:rsidR="008B1FC9" w:rsidRPr="008B1FC9" w:rsidRDefault="008B1FC9" w:rsidP="00942BDE">
            <w:pPr>
              <w:spacing w:after="0" w:line="276" w:lineRule="auto"/>
              <w:ind w:firstLine="37"/>
              <w:contextualSpacing/>
              <w:jc w:val="right"/>
              <w:rPr>
                <w:rFonts w:ascii="Times New Roman" w:hAnsi="Times New Roman"/>
                <w:b/>
                <w:bCs/>
                <w:sz w:val="20"/>
                <w:szCs w:val="20"/>
              </w:rPr>
            </w:pPr>
            <w:r w:rsidRPr="008B1FC9">
              <w:rPr>
                <w:rFonts w:ascii="Times New Roman" w:hAnsi="Times New Roman"/>
                <w:b/>
                <w:bCs/>
                <w:sz w:val="20"/>
                <w:szCs w:val="20"/>
              </w:rPr>
              <w:t>MAE</w:t>
            </w:r>
          </w:p>
        </w:tc>
        <w:tc>
          <w:tcPr>
            <w:tcW w:w="1030" w:type="dxa"/>
            <w:tcBorders>
              <w:top w:val="single" w:sz="4" w:space="0" w:color="auto"/>
              <w:bottom w:val="single" w:sz="8" w:space="0" w:color="auto"/>
            </w:tcBorders>
          </w:tcPr>
          <w:p w14:paraId="3B034203" w14:textId="77777777" w:rsidR="008B1FC9" w:rsidRPr="008B1FC9" w:rsidRDefault="008B1FC9" w:rsidP="00942BDE">
            <w:pPr>
              <w:spacing w:after="0" w:line="276" w:lineRule="auto"/>
              <w:contextualSpacing/>
              <w:jc w:val="center"/>
              <w:rPr>
                <w:rFonts w:ascii="Times New Roman" w:hAnsi="Times New Roman"/>
                <w:b/>
                <w:bCs/>
                <w:sz w:val="20"/>
                <w:szCs w:val="20"/>
              </w:rPr>
            </w:pPr>
            <w:r w:rsidRPr="008B1FC9">
              <w:rPr>
                <w:rFonts w:ascii="Times New Roman" w:hAnsi="Times New Roman"/>
                <w:b/>
                <w:bCs/>
                <w:sz w:val="20"/>
                <w:szCs w:val="20"/>
              </w:rPr>
              <w:t>MSE</w:t>
            </w:r>
          </w:p>
        </w:tc>
        <w:tc>
          <w:tcPr>
            <w:tcW w:w="858" w:type="dxa"/>
            <w:tcBorders>
              <w:top w:val="single" w:sz="4" w:space="0" w:color="auto"/>
              <w:bottom w:val="single" w:sz="8" w:space="0" w:color="auto"/>
            </w:tcBorders>
          </w:tcPr>
          <w:p w14:paraId="07084057" w14:textId="77777777" w:rsidR="008B1FC9" w:rsidRPr="008B1FC9" w:rsidRDefault="008B1FC9" w:rsidP="00942BDE">
            <w:pPr>
              <w:spacing w:after="0" w:line="276" w:lineRule="auto"/>
              <w:contextualSpacing/>
              <w:jc w:val="right"/>
              <w:rPr>
                <w:rFonts w:ascii="Times New Roman" w:hAnsi="Times New Roman"/>
                <w:b/>
                <w:bCs/>
                <w:sz w:val="20"/>
                <w:szCs w:val="20"/>
              </w:rPr>
            </w:pPr>
            <w:r w:rsidRPr="008B1FC9">
              <w:rPr>
                <w:rFonts w:ascii="Times New Roman" w:hAnsi="Times New Roman"/>
                <w:b/>
                <w:bCs/>
                <w:sz w:val="20"/>
                <w:szCs w:val="20"/>
              </w:rPr>
              <w:t>RMSE</w:t>
            </w:r>
          </w:p>
        </w:tc>
        <w:tc>
          <w:tcPr>
            <w:tcW w:w="901" w:type="dxa"/>
            <w:tcBorders>
              <w:top w:val="single" w:sz="4" w:space="0" w:color="auto"/>
              <w:bottom w:val="single" w:sz="8" w:space="0" w:color="auto"/>
            </w:tcBorders>
          </w:tcPr>
          <w:p w14:paraId="6298F583" w14:textId="77777777" w:rsidR="008B1FC9" w:rsidRPr="008B1FC9" w:rsidRDefault="008B1FC9" w:rsidP="00942BDE">
            <w:pPr>
              <w:spacing w:after="0" w:line="276" w:lineRule="auto"/>
              <w:contextualSpacing/>
              <w:jc w:val="right"/>
              <w:rPr>
                <w:rFonts w:ascii="Times New Roman" w:hAnsi="Times New Roman"/>
                <w:b/>
                <w:bCs/>
                <w:sz w:val="20"/>
                <w:szCs w:val="20"/>
              </w:rPr>
            </w:pPr>
            <w:r w:rsidRPr="008B1FC9">
              <w:rPr>
                <w:rFonts w:ascii="Times New Roman" w:hAnsi="Times New Roman"/>
                <w:b/>
                <w:bCs/>
                <w:sz w:val="20"/>
                <w:szCs w:val="20"/>
              </w:rPr>
              <w:t>MAPE</w:t>
            </w:r>
          </w:p>
        </w:tc>
      </w:tr>
      <w:tr w:rsidR="008B1FC9" w:rsidRPr="008B1FC9" w14:paraId="7712D46B" w14:textId="77777777" w:rsidTr="00942BDE">
        <w:trPr>
          <w:trHeight w:val="309"/>
          <w:jc w:val="center"/>
        </w:trPr>
        <w:tc>
          <w:tcPr>
            <w:tcW w:w="1160" w:type="dxa"/>
            <w:tcBorders>
              <w:top w:val="single" w:sz="8" w:space="0" w:color="auto"/>
            </w:tcBorders>
          </w:tcPr>
          <w:p w14:paraId="6CAEFC67"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Google</w:t>
            </w:r>
          </w:p>
        </w:tc>
        <w:tc>
          <w:tcPr>
            <w:tcW w:w="1546" w:type="dxa"/>
            <w:tcBorders>
              <w:top w:val="single" w:sz="8" w:space="0" w:color="auto"/>
            </w:tcBorders>
          </w:tcPr>
          <w:p w14:paraId="1015F089"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Borders>
              <w:top w:val="single" w:sz="8" w:space="0" w:color="auto"/>
            </w:tcBorders>
          </w:tcPr>
          <w:p w14:paraId="34B967A6"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14.04</w:t>
            </w:r>
          </w:p>
        </w:tc>
        <w:tc>
          <w:tcPr>
            <w:tcW w:w="1030" w:type="dxa"/>
            <w:tcBorders>
              <w:top w:val="single" w:sz="8" w:space="0" w:color="auto"/>
            </w:tcBorders>
          </w:tcPr>
          <w:p w14:paraId="47CA27C4"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276.17</w:t>
            </w:r>
          </w:p>
        </w:tc>
        <w:tc>
          <w:tcPr>
            <w:tcW w:w="858" w:type="dxa"/>
            <w:tcBorders>
              <w:top w:val="single" w:sz="8" w:space="0" w:color="auto"/>
            </w:tcBorders>
          </w:tcPr>
          <w:p w14:paraId="31646997"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16.62</w:t>
            </w:r>
          </w:p>
        </w:tc>
        <w:tc>
          <w:tcPr>
            <w:tcW w:w="901" w:type="dxa"/>
            <w:tcBorders>
              <w:top w:val="single" w:sz="8" w:space="0" w:color="auto"/>
            </w:tcBorders>
          </w:tcPr>
          <w:p w14:paraId="74338218"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0.11</w:t>
            </w:r>
          </w:p>
        </w:tc>
      </w:tr>
      <w:tr w:rsidR="008B1FC9" w:rsidRPr="008B1FC9" w14:paraId="3E8D3E2E" w14:textId="77777777" w:rsidTr="00942BDE">
        <w:trPr>
          <w:trHeight w:val="309"/>
          <w:jc w:val="center"/>
        </w:trPr>
        <w:tc>
          <w:tcPr>
            <w:tcW w:w="1160" w:type="dxa"/>
          </w:tcPr>
          <w:p w14:paraId="286BF6E5"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Google</w:t>
            </w:r>
          </w:p>
        </w:tc>
        <w:tc>
          <w:tcPr>
            <w:tcW w:w="1546" w:type="dxa"/>
          </w:tcPr>
          <w:p w14:paraId="50EB89EE"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77174806"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533302D8"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6700EB43"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6.97</w:t>
            </w:r>
          </w:p>
        </w:tc>
        <w:tc>
          <w:tcPr>
            <w:tcW w:w="901" w:type="dxa"/>
          </w:tcPr>
          <w:p w14:paraId="294E5E88"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1A637890" w14:textId="77777777" w:rsidTr="00942BDE">
        <w:trPr>
          <w:trHeight w:val="293"/>
          <w:jc w:val="center"/>
        </w:trPr>
        <w:tc>
          <w:tcPr>
            <w:tcW w:w="1160" w:type="dxa"/>
          </w:tcPr>
          <w:p w14:paraId="4B973C15"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Google</w:t>
            </w:r>
          </w:p>
        </w:tc>
        <w:tc>
          <w:tcPr>
            <w:tcW w:w="1546" w:type="dxa"/>
          </w:tcPr>
          <w:p w14:paraId="03E8D583"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Pr>
          <w:p w14:paraId="1653BAF0"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25375372"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5688F01D"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13.42</w:t>
            </w:r>
          </w:p>
        </w:tc>
        <w:tc>
          <w:tcPr>
            <w:tcW w:w="901" w:type="dxa"/>
          </w:tcPr>
          <w:p w14:paraId="5E706F1C"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340BEB2B" w14:textId="77777777" w:rsidTr="00942BDE">
        <w:trPr>
          <w:trHeight w:val="309"/>
          <w:jc w:val="center"/>
        </w:trPr>
        <w:tc>
          <w:tcPr>
            <w:tcW w:w="1160" w:type="dxa"/>
          </w:tcPr>
          <w:p w14:paraId="7514FBA9"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Amazon</w:t>
            </w:r>
          </w:p>
        </w:tc>
        <w:tc>
          <w:tcPr>
            <w:tcW w:w="1546" w:type="dxa"/>
          </w:tcPr>
          <w:p w14:paraId="410769F2"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547843F3"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16.83</w:t>
            </w:r>
          </w:p>
        </w:tc>
        <w:tc>
          <w:tcPr>
            <w:tcW w:w="1030" w:type="dxa"/>
          </w:tcPr>
          <w:p w14:paraId="24D3B5B8"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435.67</w:t>
            </w:r>
          </w:p>
        </w:tc>
        <w:tc>
          <w:tcPr>
            <w:tcW w:w="858" w:type="dxa"/>
          </w:tcPr>
          <w:p w14:paraId="68EF11A8"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20.87</w:t>
            </w:r>
          </w:p>
        </w:tc>
        <w:tc>
          <w:tcPr>
            <w:tcW w:w="901" w:type="dxa"/>
          </w:tcPr>
          <w:p w14:paraId="3685549D"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0.13</w:t>
            </w:r>
          </w:p>
        </w:tc>
      </w:tr>
      <w:tr w:rsidR="008B1FC9" w:rsidRPr="008B1FC9" w14:paraId="3BAFD166" w14:textId="77777777" w:rsidTr="00942BDE">
        <w:trPr>
          <w:trHeight w:val="293"/>
          <w:jc w:val="center"/>
        </w:trPr>
        <w:tc>
          <w:tcPr>
            <w:tcW w:w="1160" w:type="dxa"/>
          </w:tcPr>
          <w:p w14:paraId="4849AC2F"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Amazon</w:t>
            </w:r>
          </w:p>
        </w:tc>
        <w:tc>
          <w:tcPr>
            <w:tcW w:w="1546" w:type="dxa"/>
          </w:tcPr>
          <w:p w14:paraId="4D5F5F90"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5EE20502"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1FE6F492"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7A414C84"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3.35</w:t>
            </w:r>
          </w:p>
        </w:tc>
        <w:tc>
          <w:tcPr>
            <w:tcW w:w="901" w:type="dxa"/>
          </w:tcPr>
          <w:p w14:paraId="36216F19"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7F7F3D0F" w14:textId="77777777" w:rsidTr="00942BDE">
        <w:trPr>
          <w:trHeight w:val="293"/>
          <w:jc w:val="center"/>
        </w:trPr>
        <w:tc>
          <w:tcPr>
            <w:tcW w:w="1160" w:type="dxa"/>
          </w:tcPr>
          <w:p w14:paraId="6300FC30"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Amazon</w:t>
            </w:r>
          </w:p>
        </w:tc>
        <w:tc>
          <w:tcPr>
            <w:tcW w:w="1546" w:type="dxa"/>
          </w:tcPr>
          <w:p w14:paraId="37D797E0"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Pr>
          <w:p w14:paraId="64EA4F6E"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0BF60DC0"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797A299B"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7.05</w:t>
            </w:r>
          </w:p>
        </w:tc>
        <w:tc>
          <w:tcPr>
            <w:tcW w:w="901" w:type="dxa"/>
          </w:tcPr>
          <w:p w14:paraId="5E9B1B9D"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78FF0CF3" w14:textId="77777777" w:rsidTr="00942BDE">
        <w:trPr>
          <w:trHeight w:val="309"/>
          <w:jc w:val="center"/>
        </w:trPr>
        <w:tc>
          <w:tcPr>
            <w:tcW w:w="1160" w:type="dxa"/>
          </w:tcPr>
          <w:p w14:paraId="4F565F49"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Apple</w:t>
            </w:r>
          </w:p>
        </w:tc>
        <w:tc>
          <w:tcPr>
            <w:tcW w:w="1546" w:type="dxa"/>
          </w:tcPr>
          <w:p w14:paraId="3F9250A8"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6B2D0E67"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9.38</w:t>
            </w:r>
          </w:p>
        </w:tc>
        <w:tc>
          <w:tcPr>
            <w:tcW w:w="1030" w:type="dxa"/>
          </w:tcPr>
          <w:p w14:paraId="3A8E694C"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139.97</w:t>
            </w:r>
          </w:p>
        </w:tc>
        <w:tc>
          <w:tcPr>
            <w:tcW w:w="858" w:type="dxa"/>
          </w:tcPr>
          <w:p w14:paraId="046A6766"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11.83</w:t>
            </w:r>
          </w:p>
        </w:tc>
        <w:tc>
          <w:tcPr>
            <w:tcW w:w="901" w:type="dxa"/>
          </w:tcPr>
          <w:p w14:paraId="010D5EEB"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0.05</w:t>
            </w:r>
          </w:p>
        </w:tc>
      </w:tr>
      <w:tr w:rsidR="008B1FC9" w:rsidRPr="008B1FC9" w14:paraId="7F857D2A" w14:textId="77777777" w:rsidTr="00942BDE">
        <w:trPr>
          <w:trHeight w:val="293"/>
          <w:jc w:val="center"/>
        </w:trPr>
        <w:tc>
          <w:tcPr>
            <w:tcW w:w="1160" w:type="dxa"/>
          </w:tcPr>
          <w:p w14:paraId="6BA0AD3A"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Apple</w:t>
            </w:r>
          </w:p>
        </w:tc>
        <w:tc>
          <w:tcPr>
            <w:tcW w:w="1546" w:type="dxa"/>
          </w:tcPr>
          <w:p w14:paraId="0E22857B"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5D677974"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65AB32B3"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73C4FBE1"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6.24</w:t>
            </w:r>
          </w:p>
        </w:tc>
        <w:tc>
          <w:tcPr>
            <w:tcW w:w="901" w:type="dxa"/>
          </w:tcPr>
          <w:p w14:paraId="66FFD46E"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27CA27D1" w14:textId="77777777" w:rsidTr="00942BDE">
        <w:trPr>
          <w:trHeight w:val="309"/>
          <w:jc w:val="center"/>
        </w:trPr>
        <w:tc>
          <w:tcPr>
            <w:tcW w:w="1160" w:type="dxa"/>
          </w:tcPr>
          <w:p w14:paraId="3F1FA21A"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Apple</w:t>
            </w:r>
          </w:p>
        </w:tc>
        <w:tc>
          <w:tcPr>
            <w:tcW w:w="1546" w:type="dxa"/>
          </w:tcPr>
          <w:p w14:paraId="3B9AA460"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Pr>
          <w:p w14:paraId="36A0C40D"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508E0402"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733CA008"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7.02</w:t>
            </w:r>
          </w:p>
        </w:tc>
        <w:tc>
          <w:tcPr>
            <w:tcW w:w="901" w:type="dxa"/>
          </w:tcPr>
          <w:p w14:paraId="77D454E7"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4848A142" w14:textId="77777777" w:rsidTr="00942BDE">
        <w:trPr>
          <w:trHeight w:val="293"/>
          <w:jc w:val="center"/>
        </w:trPr>
        <w:tc>
          <w:tcPr>
            <w:tcW w:w="1160" w:type="dxa"/>
          </w:tcPr>
          <w:p w14:paraId="1166472F"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Meta</w:t>
            </w:r>
          </w:p>
        </w:tc>
        <w:tc>
          <w:tcPr>
            <w:tcW w:w="1546" w:type="dxa"/>
          </w:tcPr>
          <w:p w14:paraId="1BC589C7"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04435783"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128.89</w:t>
            </w:r>
          </w:p>
        </w:tc>
        <w:tc>
          <w:tcPr>
            <w:tcW w:w="1030" w:type="dxa"/>
          </w:tcPr>
          <w:p w14:paraId="2680E341"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21350.1</w:t>
            </w:r>
          </w:p>
        </w:tc>
        <w:tc>
          <w:tcPr>
            <w:tcW w:w="858" w:type="dxa"/>
          </w:tcPr>
          <w:p w14:paraId="399B03F7"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146.11</w:t>
            </w:r>
          </w:p>
        </w:tc>
        <w:tc>
          <w:tcPr>
            <w:tcW w:w="901" w:type="dxa"/>
          </w:tcPr>
          <w:p w14:paraId="0AF3DBEC"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0.47</w:t>
            </w:r>
          </w:p>
        </w:tc>
      </w:tr>
      <w:tr w:rsidR="008B1FC9" w:rsidRPr="008B1FC9" w14:paraId="0D3170C3" w14:textId="77777777" w:rsidTr="00942BDE">
        <w:trPr>
          <w:trHeight w:val="309"/>
          <w:jc w:val="center"/>
        </w:trPr>
        <w:tc>
          <w:tcPr>
            <w:tcW w:w="1160" w:type="dxa"/>
          </w:tcPr>
          <w:p w14:paraId="255F477B"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Meta</w:t>
            </w:r>
          </w:p>
        </w:tc>
        <w:tc>
          <w:tcPr>
            <w:tcW w:w="1546" w:type="dxa"/>
          </w:tcPr>
          <w:p w14:paraId="5345FFBE"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3F70EF7E"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6AA09BF3"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2E8B97B0"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11.21</w:t>
            </w:r>
          </w:p>
        </w:tc>
        <w:tc>
          <w:tcPr>
            <w:tcW w:w="901" w:type="dxa"/>
          </w:tcPr>
          <w:p w14:paraId="3C470FAF"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29C8B353" w14:textId="77777777" w:rsidTr="00942BDE">
        <w:trPr>
          <w:trHeight w:val="293"/>
          <w:jc w:val="center"/>
        </w:trPr>
        <w:tc>
          <w:tcPr>
            <w:tcW w:w="1160" w:type="dxa"/>
          </w:tcPr>
          <w:p w14:paraId="3CBFA78E"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Meta</w:t>
            </w:r>
          </w:p>
        </w:tc>
        <w:tc>
          <w:tcPr>
            <w:tcW w:w="1546" w:type="dxa"/>
          </w:tcPr>
          <w:p w14:paraId="1F8BCDB3"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Pr>
          <w:p w14:paraId="515F2112"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49848F99"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7D85B52C"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8.24</w:t>
            </w:r>
          </w:p>
        </w:tc>
        <w:tc>
          <w:tcPr>
            <w:tcW w:w="901" w:type="dxa"/>
          </w:tcPr>
          <w:p w14:paraId="0D845BF6"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70A49221" w14:textId="77777777" w:rsidTr="00942BDE">
        <w:trPr>
          <w:trHeight w:val="309"/>
          <w:jc w:val="center"/>
        </w:trPr>
        <w:tc>
          <w:tcPr>
            <w:tcW w:w="1160" w:type="dxa"/>
          </w:tcPr>
          <w:p w14:paraId="13945185"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Microsoft</w:t>
            </w:r>
          </w:p>
        </w:tc>
        <w:tc>
          <w:tcPr>
            <w:tcW w:w="1546" w:type="dxa"/>
          </w:tcPr>
          <w:p w14:paraId="3C08110A"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1C828F8A"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34.75</w:t>
            </w:r>
          </w:p>
        </w:tc>
        <w:tc>
          <w:tcPr>
            <w:tcW w:w="1030" w:type="dxa"/>
          </w:tcPr>
          <w:p w14:paraId="57C971FB"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1698.81</w:t>
            </w:r>
          </w:p>
        </w:tc>
        <w:tc>
          <w:tcPr>
            <w:tcW w:w="858" w:type="dxa"/>
          </w:tcPr>
          <w:p w14:paraId="662683A5"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41.22</w:t>
            </w:r>
          </w:p>
        </w:tc>
        <w:tc>
          <w:tcPr>
            <w:tcW w:w="901" w:type="dxa"/>
          </w:tcPr>
          <w:p w14:paraId="6E954C7F"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0.10</w:t>
            </w:r>
          </w:p>
        </w:tc>
      </w:tr>
      <w:tr w:rsidR="008B1FC9" w:rsidRPr="008B1FC9" w14:paraId="131AC7B6" w14:textId="77777777" w:rsidTr="00942BDE">
        <w:trPr>
          <w:trHeight w:val="293"/>
          <w:jc w:val="center"/>
        </w:trPr>
        <w:tc>
          <w:tcPr>
            <w:tcW w:w="1160" w:type="dxa"/>
          </w:tcPr>
          <w:p w14:paraId="7486EEB3"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Microsoft</w:t>
            </w:r>
          </w:p>
        </w:tc>
        <w:tc>
          <w:tcPr>
            <w:tcW w:w="1546" w:type="dxa"/>
          </w:tcPr>
          <w:p w14:paraId="77804CD3"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101027FA"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56DA55E5"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111E1540"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14.76</w:t>
            </w:r>
          </w:p>
        </w:tc>
        <w:tc>
          <w:tcPr>
            <w:tcW w:w="901" w:type="dxa"/>
          </w:tcPr>
          <w:p w14:paraId="4A21F0AC"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6DE2330E" w14:textId="77777777" w:rsidTr="00942BDE">
        <w:trPr>
          <w:trHeight w:val="309"/>
          <w:jc w:val="center"/>
        </w:trPr>
        <w:tc>
          <w:tcPr>
            <w:tcW w:w="1160" w:type="dxa"/>
          </w:tcPr>
          <w:p w14:paraId="056C40B3"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Microsoft</w:t>
            </w:r>
          </w:p>
        </w:tc>
        <w:tc>
          <w:tcPr>
            <w:tcW w:w="1546" w:type="dxa"/>
          </w:tcPr>
          <w:p w14:paraId="24FAD39E"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Pr>
          <w:p w14:paraId="45951DE7"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04A90807"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63A5B79A"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27.07</w:t>
            </w:r>
          </w:p>
        </w:tc>
        <w:tc>
          <w:tcPr>
            <w:tcW w:w="901" w:type="dxa"/>
          </w:tcPr>
          <w:p w14:paraId="67817E96"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33EA1A7C" w14:textId="77777777" w:rsidTr="00942BDE">
        <w:trPr>
          <w:trHeight w:val="293"/>
          <w:jc w:val="center"/>
        </w:trPr>
        <w:tc>
          <w:tcPr>
            <w:tcW w:w="1160" w:type="dxa"/>
          </w:tcPr>
          <w:p w14:paraId="19CD95E0"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Nvidia</w:t>
            </w:r>
          </w:p>
        </w:tc>
        <w:tc>
          <w:tcPr>
            <w:tcW w:w="1546" w:type="dxa"/>
          </w:tcPr>
          <w:p w14:paraId="7EFB7A87"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10988A2D"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155.24</w:t>
            </w:r>
          </w:p>
        </w:tc>
        <w:tc>
          <w:tcPr>
            <w:tcW w:w="1030" w:type="dxa"/>
          </w:tcPr>
          <w:p w14:paraId="46F9A103"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33139.52</w:t>
            </w:r>
          </w:p>
        </w:tc>
        <w:tc>
          <w:tcPr>
            <w:tcW w:w="858" w:type="dxa"/>
          </w:tcPr>
          <w:p w14:paraId="71A2C08F"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182.04</w:t>
            </w:r>
          </w:p>
        </w:tc>
        <w:tc>
          <w:tcPr>
            <w:tcW w:w="901" w:type="dxa"/>
          </w:tcPr>
          <w:p w14:paraId="0BC2314D"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0.39</w:t>
            </w:r>
          </w:p>
        </w:tc>
      </w:tr>
      <w:tr w:rsidR="008B1FC9" w:rsidRPr="008B1FC9" w14:paraId="273D7D47" w14:textId="77777777" w:rsidTr="00942BDE">
        <w:trPr>
          <w:trHeight w:val="309"/>
          <w:jc w:val="center"/>
        </w:trPr>
        <w:tc>
          <w:tcPr>
            <w:tcW w:w="1160" w:type="dxa"/>
          </w:tcPr>
          <w:p w14:paraId="3706D3C6"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Nvidia</w:t>
            </w:r>
          </w:p>
        </w:tc>
        <w:tc>
          <w:tcPr>
            <w:tcW w:w="1546" w:type="dxa"/>
          </w:tcPr>
          <w:p w14:paraId="1BF72CC5"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747D533C"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06EF248E"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1F5A0386"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118.30</w:t>
            </w:r>
          </w:p>
        </w:tc>
        <w:tc>
          <w:tcPr>
            <w:tcW w:w="901" w:type="dxa"/>
          </w:tcPr>
          <w:p w14:paraId="5B45FE66"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6C23E583" w14:textId="77777777" w:rsidTr="00942BDE">
        <w:trPr>
          <w:trHeight w:val="293"/>
          <w:jc w:val="center"/>
        </w:trPr>
        <w:tc>
          <w:tcPr>
            <w:tcW w:w="1160" w:type="dxa"/>
          </w:tcPr>
          <w:p w14:paraId="7CFBC7AF"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Tesla</w:t>
            </w:r>
          </w:p>
        </w:tc>
        <w:tc>
          <w:tcPr>
            <w:tcW w:w="1546" w:type="dxa"/>
          </w:tcPr>
          <w:p w14:paraId="62287BEF"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ARIMA</w:t>
            </w:r>
          </w:p>
        </w:tc>
        <w:tc>
          <w:tcPr>
            <w:tcW w:w="901" w:type="dxa"/>
          </w:tcPr>
          <w:p w14:paraId="4627674D"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25.30</w:t>
            </w:r>
          </w:p>
        </w:tc>
        <w:tc>
          <w:tcPr>
            <w:tcW w:w="1030" w:type="dxa"/>
          </w:tcPr>
          <w:p w14:paraId="70B2C8E4"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942.59</w:t>
            </w:r>
          </w:p>
        </w:tc>
        <w:tc>
          <w:tcPr>
            <w:tcW w:w="858" w:type="dxa"/>
          </w:tcPr>
          <w:p w14:paraId="15D1BD74"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30.70</w:t>
            </w:r>
          </w:p>
        </w:tc>
        <w:tc>
          <w:tcPr>
            <w:tcW w:w="901" w:type="dxa"/>
          </w:tcPr>
          <w:p w14:paraId="2A5DD0E7"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0.13</w:t>
            </w:r>
          </w:p>
        </w:tc>
      </w:tr>
      <w:tr w:rsidR="008B1FC9" w:rsidRPr="008B1FC9" w14:paraId="13B43F5F" w14:textId="77777777" w:rsidTr="00942BDE">
        <w:trPr>
          <w:trHeight w:val="309"/>
          <w:jc w:val="center"/>
        </w:trPr>
        <w:tc>
          <w:tcPr>
            <w:tcW w:w="1160" w:type="dxa"/>
          </w:tcPr>
          <w:p w14:paraId="3828CA40"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Tesla</w:t>
            </w:r>
          </w:p>
        </w:tc>
        <w:tc>
          <w:tcPr>
            <w:tcW w:w="1546" w:type="dxa"/>
          </w:tcPr>
          <w:p w14:paraId="0FE3D63D"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LSTM</w:t>
            </w:r>
          </w:p>
        </w:tc>
        <w:tc>
          <w:tcPr>
            <w:tcW w:w="901" w:type="dxa"/>
          </w:tcPr>
          <w:p w14:paraId="329EA599"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Pr>
          <w:p w14:paraId="0B43A458"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Pr>
          <w:p w14:paraId="3D047B91"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13.21</w:t>
            </w:r>
          </w:p>
        </w:tc>
        <w:tc>
          <w:tcPr>
            <w:tcW w:w="901" w:type="dxa"/>
          </w:tcPr>
          <w:p w14:paraId="70053AF8"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r w:rsidR="008B1FC9" w:rsidRPr="008B1FC9" w14:paraId="55EC8EC2" w14:textId="77777777" w:rsidTr="00942BDE">
        <w:trPr>
          <w:trHeight w:val="309"/>
          <w:jc w:val="center"/>
        </w:trPr>
        <w:tc>
          <w:tcPr>
            <w:tcW w:w="1160" w:type="dxa"/>
            <w:tcBorders>
              <w:bottom w:val="single" w:sz="8" w:space="0" w:color="auto"/>
            </w:tcBorders>
          </w:tcPr>
          <w:p w14:paraId="04EFDBFC" w14:textId="77777777" w:rsidR="008B1FC9" w:rsidRPr="008B1FC9" w:rsidRDefault="008B1FC9" w:rsidP="006C32CE">
            <w:pPr>
              <w:spacing w:after="0" w:line="276" w:lineRule="auto"/>
              <w:contextualSpacing/>
              <w:jc w:val="both"/>
              <w:rPr>
                <w:rFonts w:ascii="Times New Roman" w:hAnsi="Times New Roman"/>
                <w:sz w:val="20"/>
                <w:szCs w:val="20"/>
              </w:rPr>
            </w:pPr>
            <w:r w:rsidRPr="008B1FC9">
              <w:rPr>
                <w:rFonts w:ascii="Times New Roman" w:hAnsi="Times New Roman"/>
                <w:sz w:val="20"/>
                <w:szCs w:val="20"/>
              </w:rPr>
              <w:t>Tesla</w:t>
            </w:r>
          </w:p>
        </w:tc>
        <w:tc>
          <w:tcPr>
            <w:tcW w:w="1546" w:type="dxa"/>
            <w:tcBorders>
              <w:bottom w:val="single" w:sz="8" w:space="0" w:color="auto"/>
            </w:tcBorders>
          </w:tcPr>
          <w:p w14:paraId="00D6F611" w14:textId="77777777" w:rsidR="008B1FC9" w:rsidRPr="008B1FC9" w:rsidRDefault="008B1FC9" w:rsidP="006C32CE">
            <w:pPr>
              <w:spacing w:after="0" w:line="276" w:lineRule="auto"/>
              <w:ind w:right="26" w:firstLine="174"/>
              <w:contextualSpacing/>
              <w:rPr>
                <w:rFonts w:ascii="Times New Roman" w:hAnsi="Times New Roman"/>
                <w:sz w:val="20"/>
                <w:szCs w:val="20"/>
              </w:rPr>
            </w:pPr>
            <w:r w:rsidRPr="008B1FC9">
              <w:rPr>
                <w:rFonts w:ascii="Times New Roman" w:hAnsi="Times New Roman"/>
                <w:sz w:val="20"/>
                <w:szCs w:val="20"/>
              </w:rPr>
              <w:t>GAN</w:t>
            </w:r>
          </w:p>
        </w:tc>
        <w:tc>
          <w:tcPr>
            <w:tcW w:w="901" w:type="dxa"/>
            <w:tcBorders>
              <w:bottom w:val="single" w:sz="8" w:space="0" w:color="auto"/>
            </w:tcBorders>
          </w:tcPr>
          <w:p w14:paraId="51AAA166" w14:textId="77777777" w:rsidR="008B1FC9" w:rsidRPr="008B1FC9" w:rsidRDefault="008B1FC9" w:rsidP="00942BDE">
            <w:pPr>
              <w:spacing w:after="0" w:line="276" w:lineRule="auto"/>
              <w:ind w:firstLine="37"/>
              <w:contextualSpacing/>
              <w:jc w:val="right"/>
              <w:rPr>
                <w:rFonts w:ascii="Times New Roman" w:hAnsi="Times New Roman"/>
                <w:sz w:val="20"/>
                <w:szCs w:val="20"/>
              </w:rPr>
            </w:pPr>
            <w:r w:rsidRPr="008B1FC9">
              <w:rPr>
                <w:rFonts w:ascii="Times New Roman" w:hAnsi="Times New Roman"/>
                <w:sz w:val="20"/>
                <w:szCs w:val="20"/>
              </w:rPr>
              <w:t>-</w:t>
            </w:r>
          </w:p>
        </w:tc>
        <w:tc>
          <w:tcPr>
            <w:tcW w:w="1030" w:type="dxa"/>
            <w:tcBorders>
              <w:bottom w:val="single" w:sz="8" w:space="0" w:color="auto"/>
            </w:tcBorders>
          </w:tcPr>
          <w:p w14:paraId="19FE9AE1" w14:textId="77777777" w:rsidR="008B1FC9" w:rsidRPr="008B1FC9" w:rsidRDefault="008B1FC9" w:rsidP="00942BDE">
            <w:pPr>
              <w:spacing w:after="0" w:line="276" w:lineRule="auto"/>
              <w:contextualSpacing/>
              <w:jc w:val="center"/>
              <w:rPr>
                <w:rFonts w:ascii="Times New Roman" w:hAnsi="Times New Roman"/>
                <w:sz w:val="20"/>
                <w:szCs w:val="20"/>
              </w:rPr>
            </w:pPr>
            <w:r w:rsidRPr="008B1FC9">
              <w:rPr>
                <w:rFonts w:ascii="Times New Roman" w:hAnsi="Times New Roman"/>
                <w:sz w:val="20"/>
                <w:szCs w:val="20"/>
              </w:rPr>
              <w:t>-</w:t>
            </w:r>
          </w:p>
        </w:tc>
        <w:tc>
          <w:tcPr>
            <w:tcW w:w="858" w:type="dxa"/>
            <w:tcBorders>
              <w:bottom w:val="single" w:sz="8" w:space="0" w:color="auto"/>
            </w:tcBorders>
          </w:tcPr>
          <w:p w14:paraId="578859FE"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9.33</w:t>
            </w:r>
          </w:p>
        </w:tc>
        <w:tc>
          <w:tcPr>
            <w:tcW w:w="901" w:type="dxa"/>
            <w:tcBorders>
              <w:bottom w:val="single" w:sz="8" w:space="0" w:color="auto"/>
            </w:tcBorders>
          </w:tcPr>
          <w:p w14:paraId="24F13E37" w14:textId="77777777" w:rsidR="008B1FC9" w:rsidRPr="008B1FC9" w:rsidRDefault="008B1FC9" w:rsidP="00942BDE">
            <w:pPr>
              <w:spacing w:after="0" w:line="276" w:lineRule="auto"/>
              <w:contextualSpacing/>
              <w:jc w:val="right"/>
              <w:rPr>
                <w:rFonts w:ascii="Times New Roman" w:hAnsi="Times New Roman"/>
                <w:sz w:val="20"/>
                <w:szCs w:val="20"/>
              </w:rPr>
            </w:pPr>
            <w:r w:rsidRPr="008B1FC9">
              <w:rPr>
                <w:rFonts w:ascii="Times New Roman" w:hAnsi="Times New Roman"/>
                <w:sz w:val="20"/>
                <w:szCs w:val="20"/>
              </w:rPr>
              <w:t>-</w:t>
            </w:r>
          </w:p>
        </w:tc>
      </w:tr>
    </w:tbl>
    <w:p w14:paraId="6E3F9A8F" w14:textId="77777777" w:rsidR="00806559" w:rsidRDefault="00806559" w:rsidP="00463617">
      <w:pPr>
        <w:spacing w:after="0" w:line="240" w:lineRule="auto"/>
        <w:ind w:firstLine="720"/>
        <w:contextualSpacing/>
        <w:jc w:val="both"/>
        <w:rPr>
          <w:rFonts w:ascii="Times New Roman" w:hAnsi="Times New Roman"/>
          <w:sz w:val="20"/>
          <w:szCs w:val="20"/>
        </w:rPr>
      </w:pPr>
    </w:p>
    <w:p w14:paraId="798E2ED3" w14:textId="77777777" w:rsidR="00806559" w:rsidRDefault="00806559" w:rsidP="00463617">
      <w:pPr>
        <w:spacing w:after="0" w:line="240" w:lineRule="auto"/>
        <w:ind w:firstLine="720"/>
        <w:contextualSpacing/>
        <w:jc w:val="both"/>
        <w:rPr>
          <w:rFonts w:ascii="Times New Roman" w:hAnsi="Times New Roman"/>
          <w:sz w:val="20"/>
          <w:szCs w:val="20"/>
        </w:rPr>
      </w:pPr>
    </w:p>
    <w:p w14:paraId="6A019119" w14:textId="46FCC972" w:rsid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As shown, the quantitative findings of Table 2 demonstrate that our sentiment-conditioned GAN model can provide quantifiable benefits in accuracy of prediction in realistic market behavior, as well as point to the complementary abilities of LSTM/RNNs to predict assets with smoother price behavior.</w:t>
      </w:r>
    </w:p>
    <w:p w14:paraId="6AC8EE08" w14:textId="77777777" w:rsidR="00D76D0E" w:rsidRPr="00463617" w:rsidRDefault="00D76D0E" w:rsidP="00463617">
      <w:pPr>
        <w:spacing w:after="0" w:line="240" w:lineRule="auto"/>
        <w:ind w:firstLine="720"/>
        <w:contextualSpacing/>
        <w:jc w:val="both"/>
        <w:rPr>
          <w:rFonts w:ascii="Times New Roman" w:hAnsi="Times New Roman"/>
          <w:sz w:val="20"/>
          <w:szCs w:val="20"/>
        </w:rPr>
      </w:pPr>
    </w:p>
    <w:p w14:paraId="59285475" w14:textId="77777777" w:rsidR="00463617" w:rsidRPr="00463617" w:rsidRDefault="00463617" w:rsidP="005E6A54">
      <w:pPr>
        <w:spacing w:after="0" w:line="240" w:lineRule="auto"/>
        <w:contextualSpacing/>
        <w:jc w:val="both"/>
        <w:rPr>
          <w:rFonts w:ascii="Times New Roman" w:hAnsi="Times New Roman"/>
          <w:sz w:val="20"/>
          <w:szCs w:val="20"/>
        </w:rPr>
      </w:pPr>
      <w:r w:rsidRPr="00463617">
        <w:rPr>
          <w:rFonts w:ascii="Times New Roman" w:hAnsi="Times New Roman"/>
          <w:sz w:val="20"/>
          <w:szCs w:val="20"/>
        </w:rPr>
        <w:t>5.2 Qualitative Forecasting Comparison</w:t>
      </w:r>
    </w:p>
    <w:p w14:paraId="7B3CE750"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To further enhance the quantitative analysis in Section 5.1, this subsection provides a detailed qualitative analysis of representative predicted-vs.-actual price paths. The objective is not only to visualize the accuracy of the forecasts, but to understand how various modeling paradigms react to various market features, which may be the volatility, persistence of the trend, or the sensitivity to the information, which is driven by external sentiment-driven factors. Each of the figures refers to held-out test data and represents purely out-of-sample behavior.</w:t>
      </w:r>
    </w:p>
    <w:p w14:paraId="6A82EDF5" w14:textId="0E4F803A"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i/>
          <w:iCs/>
          <w:sz w:val="20"/>
          <w:szCs w:val="20"/>
        </w:rPr>
        <w:t>Meta</w:t>
      </w:r>
      <w:r w:rsidRPr="00463617">
        <w:rPr>
          <w:rFonts w:ascii="Times New Roman" w:hAnsi="Times New Roman"/>
          <w:sz w:val="20"/>
          <w:szCs w:val="20"/>
        </w:rPr>
        <w:t xml:space="preserve"> is a representative of stocks that have a high level of volatility and whose dynamics are mainly sentiment-based. As Fig</w:t>
      </w:r>
      <w:r w:rsidR="00930596">
        <w:rPr>
          <w:rFonts w:ascii="Times New Roman" w:hAnsi="Times New Roman"/>
          <w:sz w:val="20"/>
          <w:szCs w:val="20"/>
        </w:rPr>
        <w:t>.</w:t>
      </w:r>
      <w:r w:rsidRPr="00463617">
        <w:rPr>
          <w:rFonts w:ascii="Times New Roman" w:hAnsi="Times New Roman"/>
          <w:sz w:val="20"/>
          <w:szCs w:val="20"/>
        </w:rPr>
        <w:t xml:space="preserve"> 4 demonstrates, the predictions made by our sentiment-conditioned GAN model have a higher capability to track sudden price fluctuations and short-term directional shifts. Specifically, the model adjusts faster to drastic changes in the price series, minimizing lag effects which are common in solely sequential models. This behavior implies that sentiment conditioning is an informative contextual signal that enables the generative process to predict market responses of external events, news cycles, or changes in investor perception that are not directly encoded in historical prices.</w:t>
      </w:r>
    </w:p>
    <w:p w14:paraId="3BEFC09F" w14:textId="77777777" w:rsidR="00463617" w:rsidRPr="00463617" w:rsidRDefault="00463617" w:rsidP="00463617">
      <w:pPr>
        <w:spacing w:after="0" w:line="240" w:lineRule="auto"/>
        <w:ind w:firstLine="720"/>
        <w:contextualSpacing/>
        <w:jc w:val="both"/>
        <w:rPr>
          <w:rFonts w:ascii="Times New Roman" w:hAnsi="Times New Roman"/>
          <w:sz w:val="20"/>
          <w:szCs w:val="20"/>
        </w:rPr>
      </w:pPr>
    </w:p>
    <w:p w14:paraId="77BD6DD3" w14:textId="77777777" w:rsidR="00463617" w:rsidRPr="00463617" w:rsidRDefault="00463617" w:rsidP="005E6A54">
      <w:pPr>
        <w:spacing w:after="0" w:line="240" w:lineRule="auto"/>
        <w:contextualSpacing/>
        <w:jc w:val="center"/>
        <w:rPr>
          <w:rFonts w:ascii="Times New Roman" w:hAnsi="Times New Roman"/>
          <w:sz w:val="20"/>
          <w:szCs w:val="20"/>
        </w:rPr>
      </w:pPr>
      <w:r w:rsidRPr="00463617">
        <w:rPr>
          <w:rFonts w:ascii="Times New Roman" w:hAnsi="Times New Roman"/>
          <w:sz w:val="20"/>
          <w:szCs w:val="20"/>
          <w:lang w:val="el-GR"/>
        </w:rPr>
        <w:drawing>
          <wp:inline distT="0" distB="0" distL="0" distR="0" wp14:anchorId="2DCDCFA1" wp14:editId="4BA32E3A">
            <wp:extent cx="5124450" cy="2462530"/>
            <wp:effectExtent l="0" t="0" r="0" b="0"/>
            <wp:docPr id="7" name="Εικόνα 7" descr="Εικόνα που περιέχει κείμενο, διάγραμμα, γραμμή, γράφ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διάγραμμα, γραμμή, γράφημα&#10;&#10;Περιγραφή που δημιουργήθηκε αυτόματα"/>
                    <pic:cNvPicPr>
                      <a:picLocks noChangeAspect="1" noChangeArrowheads="1"/>
                    </pic:cNvPicPr>
                  </pic:nvPicPr>
                  <pic:blipFill rotWithShape="1">
                    <a:blip r:embed="rId11">
                      <a:extLst>
                        <a:ext uri="{28A0092B-C50C-407E-A947-70E740481C1C}">
                          <a14:useLocalDpi xmlns:a14="http://schemas.microsoft.com/office/drawing/2010/main" val="0"/>
                        </a:ext>
                      </a:extLst>
                    </a:blip>
                    <a:srcRect t="3687"/>
                    <a:stretch/>
                  </pic:blipFill>
                  <pic:spPr bwMode="auto">
                    <a:xfrm>
                      <a:off x="0" y="0"/>
                      <a:ext cx="5151954" cy="2475747"/>
                    </a:xfrm>
                    <a:prstGeom prst="rect">
                      <a:avLst/>
                    </a:prstGeom>
                    <a:noFill/>
                    <a:ln>
                      <a:noFill/>
                    </a:ln>
                    <a:extLst>
                      <a:ext uri="{53640926-AAD7-44D8-BBD7-CCE9431645EC}">
                        <a14:shadowObscured xmlns:a14="http://schemas.microsoft.com/office/drawing/2010/main"/>
                      </a:ext>
                    </a:extLst>
                  </pic:spPr>
                </pic:pic>
              </a:graphicData>
            </a:graphic>
          </wp:inline>
        </w:drawing>
      </w:r>
    </w:p>
    <w:p w14:paraId="392B1E3B" w14:textId="61086089" w:rsidR="00463617" w:rsidRPr="00463617" w:rsidRDefault="00463617" w:rsidP="00D53422">
      <w:pPr>
        <w:spacing w:after="0" w:line="240" w:lineRule="auto"/>
        <w:ind w:firstLine="720"/>
        <w:contextualSpacing/>
        <w:rPr>
          <w:rFonts w:ascii="Times New Roman" w:hAnsi="Times New Roman"/>
          <w:i/>
          <w:sz w:val="20"/>
          <w:szCs w:val="20"/>
        </w:rPr>
      </w:pPr>
      <w:r w:rsidRPr="00463617">
        <w:rPr>
          <w:rFonts w:ascii="Times New Roman" w:hAnsi="Times New Roman"/>
          <w:b/>
          <w:bCs/>
          <w:iCs/>
          <w:sz w:val="20"/>
          <w:szCs w:val="20"/>
        </w:rPr>
        <w:t>Fig</w:t>
      </w:r>
      <w:r w:rsidR="00C62DB7">
        <w:rPr>
          <w:rFonts w:ascii="Times New Roman" w:hAnsi="Times New Roman"/>
          <w:b/>
          <w:bCs/>
          <w:iCs/>
          <w:sz w:val="20"/>
          <w:szCs w:val="20"/>
        </w:rPr>
        <w:t>ure</w:t>
      </w:r>
      <w:r w:rsidRPr="00463617">
        <w:rPr>
          <w:rFonts w:ascii="Times New Roman" w:hAnsi="Times New Roman"/>
          <w:b/>
          <w:bCs/>
          <w:iCs/>
          <w:sz w:val="20"/>
          <w:szCs w:val="20"/>
        </w:rPr>
        <w:t xml:space="preserve"> 3</w:t>
      </w:r>
      <w:r w:rsidR="00C62DB7">
        <w:rPr>
          <w:rFonts w:ascii="Times New Roman" w:hAnsi="Times New Roman"/>
          <w:b/>
          <w:bCs/>
          <w:iCs/>
          <w:sz w:val="20"/>
          <w:szCs w:val="20"/>
        </w:rPr>
        <w:t>:</w:t>
      </w:r>
      <w:r w:rsidRPr="00463617">
        <w:rPr>
          <w:rFonts w:ascii="Times New Roman" w:hAnsi="Times New Roman"/>
          <w:iCs/>
          <w:sz w:val="20"/>
          <w:szCs w:val="20"/>
        </w:rPr>
        <w:t xml:space="preserve"> </w:t>
      </w:r>
      <w:r w:rsidRPr="00463617">
        <w:rPr>
          <w:rFonts w:ascii="Times New Roman" w:hAnsi="Times New Roman"/>
          <w:i/>
          <w:sz w:val="20"/>
          <w:szCs w:val="20"/>
        </w:rPr>
        <w:t>Predicted versus actual closing prices for Meta (META) on held-out test data using our sentiment-conditioned GAN model</w:t>
      </w:r>
    </w:p>
    <w:p w14:paraId="46338A89" w14:textId="5157DCD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Conversely, assets with a more continuous price dynamics and more stable temporal patterns that reveal weaknesses in our sentiment-conditioned GAN model. Fig</w:t>
      </w:r>
      <w:r w:rsidR="00930596">
        <w:rPr>
          <w:rFonts w:ascii="Times New Roman" w:hAnsi="Times New Roman"/>
          <w:sz w:val="20"/>
          <w:szCs w:val="20"/>
        </w:rPr>
        <w:t>.</w:t>
      </w:r>
      <w:r w:rsidRPr="00463617">
        <w:rPr>
          <w:rFonts w:ascii="Times New Roman" w:hAnsi="Times New Roman"/>
          <w:sz w:val="20"/>
          <w:szCs w:val="20"/>
        </w:rPr>
        <w:t xml:space="preserve"> 4 shows this behavior by providing the predicted-vs. actual price behavior of a relatively stable asset like Alphabet Inc. (</w:t>
      </w:r>
      <w:r w:rsidRPr="00463617">
        <w:rPr>
          <w:rFonts w:ascii="Times New Roman" w:hAnsi="Times New Roman"/>
          <w:i/>
          <w:iCs/>
          <w:sz w:val="20"/>
          <w:szCs w:val="20"/>
        </w:rPr>
        <w:t>Google</w:t>
      </w:r>
      <w:r w:rsidRPr="00463617">
        <w:rPr>
          <w:rFonts w:ascii="Times New Roman" w:hAnsi="Times New Roman"/>
          <w:sz w:val="20"/>
          <w:szCs w:val="20"/>
        </w:rPr>
        <w:t>) with the GAN-based model used. The forecasts generated in this case, have a greater variability with respect to the actual price path, especially in the ability to capture slow trends and long-term directional movements. The qualitative mismatch is a sign that, when market dynamics are largely determined by the laws of history instead of sudden signals of sentiment, the GAN process is unreliable in maintaining correct long-term alignment. In line with the quantitative findings of Section 5.1, the LSTM-based model seems to perform better in these scenarios by virtue of its recurrent nature, which is more appropriate to learn long-term temporal correlations.</w:t>
      </w:r>
    </w:p>
    <w:p w14:paraId="42568016" w14:textId="77777777" w:rsidR="00463617" w:rsidRPr="00463617" w:rsidRDefault="00463617" w:rsidP="00100710">
      <w:pPr>
        <w:spacing w:after="0" w:line="240" w:lineRule="auto"/>
        <w:contextualSpacing/>
        <w:jc w:val="center"/>
        <w:rPr>
          <w:rFonts w:ascii="Times New Roman" w:hAnsi="Times New Roman"/>
          <w:sz w:val="20"/>
          <w:szCs w:val="20"/>
        </w:rPr>
      </w:pPr>
      <w:r w:rsidRPr="00463617">
        <w:rPr>
          <w:rFonts w:ascii="Times New Roman" w:hAnsi="Times New Roman"/>
          <w:sz w:val="20"/>
          <w:szCs w:val="20"/>
          <w:lang w:val="el-GR"/>
        </w:rPr>
        <w:lastRenderedPageBreak/>
        <w:drawing>
          <wp:inline distT="0" distB="0" distL="0" distR="0" wp14:anchorId="4E313FA3" wp14:editId="52631E84">
            <wp:extent cx="5467350" cy="2400300"/>
            <wp:effectExtent l="0" t="0" r="0" b="0"/>
            <wp:docPr id="118" name="Image 118" descr="A graph of a graph showing the price of a stock mar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A graph of a graph showing the price of a stock market"/>
                    <pic:cNvPicPr/>
                  </pic:nvPicPr>
                  <pic:blipFill rotWithShape="1">
                    <a:blip r:embed="rId12" cstate="print"/>
                    <a:srcRect t="3346"/>
                    <a:stretch/>
                  </pic:blipFill>
                  <pic:spPr bwMode="auto">
                    <a:xfrm>
                      <a:off x="0" y="0"/>
                      <a:ext cx="5490328" cy="2410388"/>
                    </a:xfrm>
                    <a:prstGeom prst="rect">
                      <a:avLst/>
                    </a:prstGeom>
                    <a:ln>
                      <a:noFill/>
                    </a:ln>
                    <a:extLst>
                      <a:ext uri="{53640926-AAD7-44D8-BBD7-CCE9431645EC}">
                        <a14:shadowObscured xmlns:a14="http://schemas.microsoft.com/office/drawing/2010/main"/>
                      </a:ext>
                    </a:extLst>
                  </pic:spPr>
                </pic:pic>
              </a:graphicData>
            </a:graphic>
          </wp:inline>
        </w:drawing>
      </w:r>
    </w:p>
    <w:p w14:paraId="0B7CAF6D" w14:textId="2FD2C144" w:rsidR="00463617" w:rsidRPr="00173092" w:rsidRDefault="00463617" w:rsidP="00A60A26">
      <w:pPr>
        <w:spacing w:after="0" w:line="240" w:lineRule="auto"/>
        <w:ind w:firstLine="720"/>
        <w:contextualSpacing/>
        <w:rPr>
          <w:rFonts w:ascii="Times New Roman" w:hAnsi="Times New Roman"/>
          <w:i/>
          <w:sz w:val="20"/>
          <w:szCs w:val="20"/>
        </w:rPr>
      </w:pPr>
      <w:r w:rsidRPr="00463617">
        <w:rPr>
          <w:rFonts w:ascii="Times New Roman" w:hAnsi="Times New Roman"/>
          <w:b/>
          <w:bCs/>
          <w:iCs/>
          <w:sz w:val="20"/>
          <w:szCs w:val="20"/>
        </w:rPr>
        <w:t>Fig</w:t>
      </w:r>
      <w:r w:rsidR="00173092">
        <w:rPr>
          <w:rFonts w:ascii="Times New Roman" w:hAnsi="Times New Roman"/>
          <w:b/>
          <w:bCs/>
          <w:iCs/>
          <w:sz w:val="20"/>
          <w:szCs w:val="20"/>
        </w:rPr>
        <w:t>ure</w:t>
      </w:r>
      <w:r w:rsidRPr="00463617">
        <w:rPr>
          <w:rFonts w:ascii="Times New Roman" w:hAnsi="Times New Roman"/>
          <w:b/>
          <w:bCs/>
          <w:iCs/>
          <w:sz w:val="20"/>
          <w:szCs w:val="20"/>
        </w:rPr>
        <w:t xml:space="preserve"> 4</w:t>
      </w:r>
      <w:r w:rsidR="00173092">
        <w:rPr>
          <w:rFonts w:ascii="Times New Roman" w:hAnsi="Times New Roman"/>
          <w:b/>
          <w:bCs/>
          <w:iCs/>
          <w:sz w:val="20"/>
          <w:szCs w:val="20"/>
        </w:rPr>
        <w:t>:</w:t>
      </w:r>
      <w:r w:rsidRPr="00463617">
        <w:rPr>
          <w:rFonts w:ascii="Times New Roman" w:hAnsi="Times New Roman"/>
          <w:iCs/>
          <w:sz w:val="20"/>
          <w:szCs w:val="20"/>
        </w:rPr>
        <w:t xml:space="preserve"> </w:t>
      </w:r>
      <w:r w:rsidRPr="00463617">
        <w:rPr>
          <w:rFonts w:ascii="Times New Roman" w:hAnsi="Times New Roman"/>
          <w:i/>
          <w:sz w:val="20"/>
          <w:szCs w:val="20"/>
        </w:rPr>
        <w:t>Predicted vs. actual closing prices for Alphabet Inc. (Google) with our GAN modeling framework, illustrating reduced forecasting accuracy for assets with smoother temporal dynamics</w:t>
      </w:r>
    </w:p>
    <w:p w14:paraId="2B697C46" w14:textId="77777777" w:rsidR="005E6A54" w:rsidRPr="00463617" w:rsidRDefault="005E6A54" w:rsidP="00463617">
      <w:pPr>
        <w:spacing w:after="0" w:line="240" w:lineRule="auto"/>
        <w:ind w:firstLine="720"/>
        <w:contextualSpacing/>
        <w:jc w:val="both"/>
        <w:rPr>
          <w:rFonts w:ascii="Times New Roman" w:hAnsi="Times New Roman"/>
          <w:sz w:val="20"/>
          <w:szCs w:val="20"/>
        </w:rPr>
      </w:pPr>
    </w:p>
    <w:p w14:paraId="49629D7F" w14:textId="461F2978" w:rsid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Another example that could be used to demonstrate the complementary qualities of the analyzed models is Tesla (</w:t>
      </w:r>
      <w:r w:rsidRPr="00463617">
        <w:rPr>
          <w:rFonts w:ascii="Times New Roman" w:hAnsi="Times New Roman"/>
          <w:i/>
          <w:iCs/>
          <w:sz w:val="20"/>
          <w:szCs w:val="20"/>
        </w:rPr>
        <w:t>TSLA</w:t>
      </w:r>
      <w:r w:rsidRPr="00463617">
        <w:rPr>
          <w:rFonts w:ascii="Times New Roman" w:hAnsi="Times New Roman"/>
          <w:sz w:val="20"/>
          <w:szCs w:val="20"/>
        </w:rPr>
        <w:t>). Tesla suggests a challenging forecasting problem because of its volatility and price fluctuations caused by announcements, social media, and speculative actions of the population. Our sentiment-conditioned GAN model shown in Fig</w:t>
      </w:r>
      <w:r w:rsidR="00C55E39">
        <w:rPr>
          <w:rFonts w:ascii="Times New Roman" w:hAnsi="Times New Roman"/>
          <w:sz w:val="20"/>
          <w:szCs w:val="20"/>
        </w:rPr>
        <w:t>.</w:t>
      </w:r>
      <w:r w:rsidRPr="00463617">
        <w:rPr>
          <w:rFonts w:ascii="Times New Roman" w:hAnsi="Times New Roman"/>
          <w:sz w:val="20"/>
          <w:szCs w:val="20"/>
        </w:rPr>
        <w:t xml:space="preserve"> 5 shows a higher reaction to abrupt shifts in price direction than the sequential-only approaches. Although certain deviations are unavoidable since the asset is too unpredictable, the generative model adopts its response to sharp changes, which justifies the hypothesis that sentiment-sensitive modeling can help to become more adaptable to highly dynamic market environments.</w:t>
      </w:r>
    </w:p>
    <w:p w14:paraId="3486C141" w14:textId="77777777" w:rsidR="00B92F89" w:rsidRPr="00463617" w:rsidRDefault="00B92F89" w:rsidP="00463617">
      <w:pPr>
        <w:spacing w:after="0" w:line="240" w:lineRule="auto"/>
        <w:ind w:firstLine="720"/>
        <w:contextualSpacing/>
        <w:jc w:val="both"/>
        <w:rPr>
          <w:rFonts w:ascii="Times New Roman" w:hAnsi="Times New Roman"/>
          <w:sz w:val="20"/>
          <w:szCs w:val="20"/>
        </w:rPr>
      </w:pPr>
    </w:p>
    <w:p w14:paraId="6740F41D" w14:textId="77777777" w:rsidR="00463617" w:rsidRPr="00463617" w:rsidRDefault="00463617" w:rsidP="00100710">
      <w:pPr>
        <w:spacing w:after="0" w:line="240" w:lineRule="auto"/>
        <w:contextualSpacing/>
        <w:jc w:val="center"/>
        <w:rPr>
          <w:rFonts w:ascii="Times New Roman" w:hAnsi="Times New Roman"/>
          <w:sz w:val="20"/>
          <w:szCs w:val="20"/>
        </w:rPr>
      </w:pPr>
      <w:r w:rsidRPr="00463617">
        <w:rPr>
          <w:rFonts w:ascii="Times New Roman" w:hAnsi="Times New Roman"/>
          <w:b/>
          <w:sz w:val="20"/>
          <w:szCs w:val="20"/>
          <w:lang w:val="el-GR"/>
        </w:rPr>
        <w:drawing>
          <wp:inline distT="0" distB="0" distL="0" distR="0" wp14:anchorId="3F9680AD" wp14:editId="0BD334B5">
            <wp:extent cx="5427345" cy="2846502"/>
            <wp:effectExtent l="0" t="0" r="1905" b="0"/>
            <wp:docPr id="123" name="Image 123" descr="A graph showing the price of a stock marke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A graph showing the price of a stock market  Description automatically generated"/>
                    <pic:cNvPicPr/>
                  </pic:nvPicPr>
                  <pic:blipFill rotWithShape="1">
                    <a:blip r:embed="rId13" cstate="print"/>
                    <a:srcRect t="3950"/>
                    <a:stretch/>
                  </pic:blipFill>
                  <pic:spPr bwMode="auto">
                    <a:xfrm>
                      <a:off x="0" y="0"/>
                      <a:ext cx="5427345" cy="2846502"/>
                    </a:xfrm>
                    <a:prstGeom prst="rect">
                      <a:avLst/>
                    </a:prstGeom>
                    <a:ln>
                      <a:noFill/>
                    </a:ln>
                    <a:extLst>
                      <a:ext uri="{53640926-AAD7-44D8-BBD7-CCE9431645EC}">
                        <a14:shadowObscured xmlns:a14="http://schemas.microsoft.com/office/drawing/2010/main"/>
                      </a:ext>
                    </a:extLst>
                  </pic:spPr>
                </pic:pic>
              </a:graphicData>
            </a:graphic>
          </wp:inline>
        </w:drawing>
      </w:r>
    </w:p>
    <w:p w14:paraId="41E1FAB7" w14:textId="46040510" w:rsidR="00463617" w:rsidRPr="00060CED" w:rsidRDefault="00463617" w:rsidP="00060CED">
      <w:pPr>
        <w:spacing w:after="0" w:line="240" w:lineRule="auto"/>
        <w:ind w:firstLine="720"/>
        <w:contextualSpacing/>
        <w:rPr>
          <w:rFonts w:ascii="Times New Roman" w:hAnsi="Times New Roman"/>
          <w:i/>
          <w:sz w:val="20"/>
          <w:szCs w:val="20"/>
        </w:rPr>
      </w:pPr>
      <w:r w:rsidRPr="00463617">
        <w:rPr>
          <w:rFonts w:ascii="Times New Roman" w:hAnsi="Times New Roman"/>
          <w:b/>
          <w:bCs/>
          <w:iCs/>
          <w:sz w:val="20"/>
          <w:szCs w:val="20"/>
        </w:rPr>
        <w:t>Fig</w:t>
      </w:r>
      <w:r w:rsidR="00A60A26">
        <w:rPr>
          <w:rFonts w:ascii="Times New Roman" w:hAnsi="Times New Roman"/>
          <w:b/>
          <w:bCs/>
          <w:iCs/>
          <w:sz w:val="20"/>
          <w:szCs w:val="20"/>
        </w:rPr>
        <w:t>ure</w:t>
      </w:r>
      <w:r w:rsidRPr="00463617">
        <w:rPr>
          <w:rFonts w:ascii="Times New Roman" w:hAnsi="Times New Roman"/>
          <w:b/>
          <w:bCs/>
          <w:iCs/>
          <w:sz w:val="20"/>
          <w:szCs w:val="20"/>
        </w:rPr>
        <w:t xml:space="preserve"> 5</w:t>
      </w:r>
      <w:r w:rsidR="00A60A26">
        <w:rPr>
          <w:rFonts w:ascii="Times New Roman" w:hAnsi="Times New Roman"/>
          <w:b/>
          <w:bCs/>
          <w:iCs/>
          <w:sz w:val="20"/>
          <w:szCs w:val="20"/>
        </w:rPr>
        <w:t>:</w:t>
      </w:r>
      <w:r w:rsidRPr="00463617">
        <w:rPr>
          <w:rFonts w:ascii="Times New Roman" w:hAnsi="Times New Roman"/>
          <w:iCs/>
          <w:sz w:val="20"/>
          <w:szCs w:val="20"/>
        </w:rPr>
        <w:t xml:space="preserve"> </w:t>
      </w:r>
      <w:r w:rsidRPr="00463617">
        <w:rPr>
          <w:rFonts w:ascii="Times New Roman" w:hAnsi="Times New Roman"/>
          <w:i/>
          <w:sz w:val="20"/>
          <w:szCs w:val="20"/>
        </w:rPr>
        <w:t>Predicted vs. actual closing prices for Tesla (TSLA) with our GAN modeling framework; we notice the model’s ability to capture abrupt price movements in a highly volatile, sentiment-driven market</w:t>
      </w:r>
    </w:p>
    <w:p w14:paraId="6305694E" w14:textId="77777777" w:rsidR="005E6A54" w:rsidRPr="00463617" w:rsidRDefault="005E6A54" w:rsidP="00463617">
      <w:pPr>
        <w:spacing w:after="0" w:line="240" w:lineRule="auto"/>
        <w:ind w:firstLine="720"/>
        <w:contextualSpacing/>
        <w:jc w:val="both"/>
        <w:rPr>
          <w:rFonts w:ascii="Times New Roman" w:hAnsi="Times New Roman"/>
          <w:sz w:val="20"/>
          <w:szCs w:val="20"/>
        </w:rPr>
      </w:pPr>
    </w:p>
    <w:p w14:paraId="155C13D4"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Combined with the qualitative evidence, the quantitative results of Section 5.1 are strengthened and enhanced. The graphical comparisons affirm that, there is no universal best modeling method that fits all assets, but that effectiveness of models is highly dependent on the underlying market regime. Recurrent neural networks like LSTM can be used to model assets with predictable time variations and our sentiment-conditioned GAN architecture has specific benefits in environments where price dynamics are subject to significant effects of exogenous information and investor mood. The observations highlight the significance of the model selection and hybrid modeling approach in the practical stock price forecasting processes.</w:t>
      </w:r>
    </w:p>
    <w:p w14:paraId="31A1E4F2" w14:textId="30B09A3B" w:rsidR="005E6A54" w:rsidRDefault="005E6A54" w:rsidP="005E6A54">
      <w:pPr>
        <w:spacing w:after="0" w:line="240" w:lineRule="auto"/>
        <w:contextualSpacing/>
        <w:jc w:val="both"/>
        <w:rPr>
          <w:rFonts w:ascii="Times New Roman" w:hAnsi="Times New Roman"/>
          <w:sz w:val="20"/>
          <w:szCs w:val="20"/>
        </w:rPr>
      </w:pPr>
    </w:p>
    <w:p w14:paraId="02198515" w14:textId="28131A39" w:rsidR="00B92F89" w:rsidRDefault="00B92F89" w:rsidP="005E6A54">
      <w:pPr>
        <w:spacing w:after="0" w:line="240" w:lineRule="auto"/>
        <w:contextualSpacing/>
        <w:jc w:val="both"/>
        <w:rPr>
          <w:rFonts w:ascii="Times New Roman" w:hAnsi="Times New Roman"/>
          <w:sz w:val="20"/>
          <w:szCs w:val="20"/>
        </w:rPr>
      </w:pPr>
    </w:p>
    <w:p w14:paraId="7FE1BAE5" w14:textId="77777777" w:rsidR="00B92F89" w:rsidRDefault="00B92F89" w:rsidP="005E6A54">
      <w:pPr>
        <w:spacing w:after="0" w:line="240" w:lineRule="auto"/>
        <w:contextualSpacing/>
        <w:jc w:val="both"/>
        <w:rPr>
          <w:rFonts w:ascii="Times New Roman" w:hAnsi="Times New Roman"/>
          <w:sz w:val="20"/>
          <w:szCs w:val="20"/>
        </w:rPr>
      </w:pPr>
    </w:p>
    <w:p w14:paraId="08715B39" w14:textId="61A5D324" w:rsidR="00463617" w:rsidRPr="00463617" w:rsidRDefault="00463617" w:rsidP="005E6A54">
      <w:pPr>
        <w:spacing w:after="0" w:line="240" w:lineRule="auto"/>
        <w:contextualSpacing/>
        <w:jc w:val="both"/>
        <w:rPr>
          <w:rFonts w:ascii="Times New Roman" w:hAnsi="Times New Roman"/>
          <w:sz w:val="20"/>
          <w:szCs w:val="20"/>
        </w:rPr>
      </w:pPr>
      <w:r w:rsidRPr="00463617">
        <w:rPr>
          <w:rFonts w:ascii="Times New Roman" w:hAnsi="Times New Roman"/>
          <w:sz w:val="20"/>
          <w:szCs w:val="20"/>
        </w:rPr>
        <w:t>5.3 Aggregate Robustness and Comparative Performance Analysis</w:t>
      </w:r>
    </w:p>
    <w:p w14:paraId="7FC55DD0"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lastRenderedPageBreak/>
        <w:t>In order to add to the earlier analysis that was per-asset based as detailed in the preceding subsections, this section gives a more aggregate and robustness-based analysis of the forecasting performance of all the assets that are discussed. Although the stock-specific measures can be used to provide a comprehensive understanding of individual behavior, the aggregate measures are needed to determine the overall consistency, stability and relative effectiveness of the models tested in the heterogeneous market.</w:t>
      </w:r>
    </w:p>
    <w:p w14:paraId="51ACF909" w14:textId="111F80D2" w:rsid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 xml:space="preserve">Table 3 presents aggregate performance statistics based on the values of RMSE in Section 4, such as: </w:t>
      </w:r>
      <w:r w:rsidRPr="00463617">
        <w:rPr>
          <w:rFonts w:ascii="Times New Roman" w:hAnsi="Times New Roman"/>
          <w:i/>
          <w:iCs/>
          <w:sz w:val="20"/>
          <w:szCs w:val="20"/>
        </w:rPr>
        <w:t>mean RMSE</w:t>
      </w:r>
      <w:r w:rsidRPr="00463617">
        <w:rPr>
          <w:rFonts w:ascii="Times New Roman" w:hAnsi="Times New Roman"/>
          <w:sz w:val="20"/>
          <w:szCs w:val="20"/>
        </w:rPr>
        <w:t xml:space="preserve">, </w:t>
      </w:r>
      <w:r w:rsidRPr="00463617">
        <w:rPr>
          <w:rFonts w:ascii="Times New Roman" w:hAnsi="Times New Roman"/>
          <w:i/>
          <w:iCs/>
          <w:sz w:val="20"/>
          <w:szCs w:val="20"/>
        </w:rPr>
        <w:t>median RMSE</w:t>
      </w:r>
      <w:r w:rsidRPr="00463617">
        <w:rPr>
          <w:rFonts w:ascii="Times New Roman" w:hAnsi="Times New Roman"/>
          <w:sz w:val="20"/>
          <w:szCs w:val="20"/>
        </w:rPr>
        <w:t xml:space="preserve"> and the “</w:t>
      </w:r>
      <w:r w:rsidRPr="00463617">
        <w:rPr>
          <w:rFonts w:ascii="Times New Roman" w:hAnsi="Times New Roman"/>
          <w:i/>
          <w:iCs/>
          <w:sz w:val="20"/>
          <w:szCs w:val="20"/>
        </w:rPr>
        <w:t>number of wins”</w:t>
      </w:r>
      <w:r w:rsidRPr="00463617">
        <w:rPr>
          <w:rFonts w:ascii="Times New Roman" w:hAnsi="Times New Roman"/>
          <w:sz w:val="20"/>
          <w:szCs w:val="20"/>
        </w:rPr>
        <w:t xml:space="preserve"> (meaning the number of assets that each of the models produce the lowest prediction error). Combination of </w:t>
      </w:r>
      <w:r w:rsidRPr="00463617">
        <w:rPr>
          <w:rFonts w:ascii="Times New Roman" w:hAnsi="Times New Roman"/>
          <w:i/>
          <w:iCs/>
          <w:sz w:val="20"/>
          <w:szCs w:val="20"/>
        </w:rPr>
        <w:t>mean and median RMSE</w:t>
      </w:r>
      <w:r w:rsidRPr="00463617">
        <w:rPr>
          <w:rFonts w:ascii="Times New Roman" w:hAnsi="Times New Roman"/>
          <w:sz w:val="20"/>
          <w:szCs w:val="20"/>
        </w:rPr>
        <w:t xml:space="preserve"> enables the evaluation where an overall accuracy is considered, and the impact of extreme error values of highly volatile assets is minimized. Sentiment-conditioned GAN model results do not include </w:t>
      </w:r>
      <w:r w:rsidRPr="00463617">
        <w:rPr>
          <w:rFonts w:ascii="Times New Roman" w:hAnsi="Times New Roman"/>
          <w:i/>
          <w:iCs/>
          <w:sz w:val="20"/>
          <w:szCs w:val="20"/>
        </w:rPr>
        <w:t xml:space="preserve">NVDA </w:t>
      </w:r>
      <w:r w:rsidRPr="00463617">
        <w:rPr>
          <w:rFonts w:ascii="Times New Roman" w:hAnsi="Times New Roman"/>
          <w:sz w:val="20"/>
          <w:szCs w:val="20"/>
        </w:rPr>
        <w:t>stock, where no GAN-NLP based evaluation was performed.</w:t>
      </w:r>
    </w:p>
    <w:p w14:paraId="009DA33A" w14:textId="77777777" w:rsidR="004432D2" w:rsidRPr="00463617" w:rsidRDefault="004432D2" w:rsidP="00463617">
      <w:pPr>
        <w:spacing w:after="0" w:line="240" w:lineRule="auto"/>
        <w:ind w:firstLine="720"/>
        <w:contextualSpacing/>
        <w:jc w:val="both"/>
        <w:rPr>
          <w:rFonts w:ascii="Times New Roman" w:hAnsi="Times New Roman"/>
          <w:sz w:val="20"/>
          <w:szCs w:val="20"/>
        </w:rPr>
      </w:pPr>
    </w:p>
    <w:p w14:paraId="73DAAD80" w14:textId="7A416EAD" w:rsidR="00463617" w:rsidRPr="00463617" w:rsidRDefault="00463617" w:rsidP="00700625">
      <w:pPr>
        <w:spacing w:after="0" w:line="240" w:lineRule="auto"/>
        <w:ind w:firstLine="720"/>
        <w:contextualSpacing/>
        <w:jc w:val="center"/>
        <w:rPr>
          <w:rFonts w:ascii="Times New Roman" w:hAnsi="Times New Roman"/>
          <w:sz w:val="20"/>
          <w:szCs w:val="20"/>
        </w:rPr>
      </w:pPr>
      <w:r w:rsidRPr="00463617">
        <w:rPr>
          <w:rFonts w:ascii="Times New Roman" w:hAnsi="Times New Roman"/>
          <w:b/>
          <w:bCs/>
          <w:sz w:val="20"/>
          <w:szCs w:val="20"/>
        </w:rPr>
        <w:t>Table</w:t>
      </w:r>
      <w:r w:rsidRPr="00463617">
        <w:rPr>
          <w:rFonts w:ascii="Times New Roman" w:hAnsi="Times New Roman"/>
          <w:sz w:val="20"/>
          <w:szCs w:val="20"/>
        </w:rPr>
        <w:t xml:space="preserve"> </w:t>
      </w:r>
      <w:r w:rsidRPr="00463617">
        <w:rPr>
          <w:rFonts w:ascii="Times New Roman" w:hAnsi="Times New Roman"/>
          <w:b/>
          <w:bCs/>
          <w:sz w:val="20"/>
          <w:szCs w:val="20"/>
        </w:rPr>
        <w:t>3</w:t>
      </w:r>
      <w:r w:rsidR="00F7163A">
        <w:rPr>
          <w:rFonts w:ascii="Times New Roman" w:hAnsi="Times New Roman"/>
          <w:b/>
          <w:bCs/>
          <w:sz w:val="20"/>
          <w:szCs w:val="20"/>
        </w:rPr>
        <w:t>:</w:t>
      </w:r>
      <w:r w:rsidRPr="00463617">
        <w:rPr>
          <w:rFonts w:ascii="Times New Roman" w:hAnsi="Times New Roman"/>
          <w:sz w:val="20"/>
          <w:szCs w:val="20"/>
        </w:rPr>
        <w:t xml:space="preserve"> Aggregated Robustness Metrics Across Models</w:t>
      </w:r>
    </w:p>
    <w:tbl>
      <w:tblPr>
        <w:tblW w:w="0" w:type="auto"/>
        <w:jc w:val="center"/>
        <w:tblLook w:val="04A0" w:firstRow="1" w:lastRow="0" w:firstColumn="1" w:lastColumn="0" w:noHBand="0" w:noVBand="1"/>
      </w:tblPr>
      <w:tblGrid>
        <w:gridCol w:w="1242"/>
        <w:gridCol w:w="1311"/>
        <w:gridCol w:w="1462"/>
        <w:gridCol w:w="2472"/>
      </w:tblGrid>
      <w:tr w:rsidR="00463617" w:rsidRPr="00463617" w14:paraId="74A19898" w14:textId="77777777" w:rsidTr="00700625">
        <w:trPr>
          <w:jc w:val="center"/>
        </w:trPr>
        <w:tc>
          <w:tcPr>
            <w:tcW w:w="1242" w:type="dxa"/>
            <w:tcBorders>
              <w:top w:val="single" w:sz="8" w:space="0" w:color="auto"/>
              <w:bottom w:val="single" w:sz="18" w:space="0" w:color="auto"/>
            </w:tcBorders>
          </w:tcPr>
          <w:p w14:paraId="273F0289" w14:textId="77777777" w:rsidR="00463617" w:rsidRPr="00463617" w:rsidRDefault="00463617" w:rsidP="004432D2">
            <w:pPr>
              <w:spacing w:after="0" w:line="240" w:lineRule="auto"/>
              <w:contextualSpacing/>
              <w:jc w:val="both"/>
              <w:rPr>
                <w:rFonts w:ascii="Times New Roman" w:hAnsi="Times New Roman"/>
                <w:b/>
                <w:bCs/>
                <w:sz w:val="20"/>
                <w:szCs w:val="20"/>
              </w:rPr>
            </w:pPr>
            <w:r w:rsidRPr="00463617">
              <w:rPr>
                <w:rFonts w:ascii="Times New Roman" w:hAnsi="Times New Roman"/>
                <w:b/>
                <w:bCs/>
                <w:sz w:val="20"/>
                <w:szCs w:val="20"/>
              </w:rPr>
              <w:t>Model</w:t>
            </w:r>
          </w:p>
        </w:tc>
        <w:tc>
          <w:tcPr>
            <w:tcW w:w="1311" w:type="dxa"/>
            <w:tcBorders>
              <w:top w:val="single" w:sz="8" w:space="0" w:color="auto"/>
              <w:bottom w:val="single" w:sz="18" w:space="0" w:color="auto"/>
            </w:tcBorders>
          </w:tcPr>
          <w:p w14:paraId="3750FF23" w14:textId="77777777" w:rsidR="00463617" w:rsidRPr="00463617" w:rsidRDefault="00463617" w:rsidP="004432D2">
            <w:pPr>
              <w:spacing w:after="0" w:line="240" w:lineRule="auto"/>
              <w:ind w:firstLine="39"/>
              <w:contextualSpacing/>
              <w:jc w:val="center"/>
              <w:rPr>
                <w:rFonts w:ascii="Times New Roman" w:hAnsi="Times New Roman"/>
                <w:b/>
                <w:bCs/>
                <w:sz w:val="20"/>
                <w:szCs w:val="20"/>
              </w:rPr>
            </w:pPr>
            <w:r w:rsidRPr="00463617">
              <w:rPr>
                <w:rFonts w:ascii="Times New Roman" w:hAnsi="Times New Roman"/>
                <w:b/>
                <w:bCs/>
                <w:sz w:val="20"/>
                <w:szCs w:val="20"/>
              </w:rPr>
              <w:t>Mean RMSE</w:t>
            </w:r>
          </w:p>
        </w:tc>
        <w:tc>
          <w:tcPr>
            <w:tcW w:w="1462" w:type="dxa"/>
            <w:tcBorders>
              <w:top w:val="single" w:sz="8" w:space="0" w:color="auto"/>
              <w:bottom w:val="single" w:sz="18" w:space="0" w:color="auto"/>
            </w:tcBorders>
          </w:tcPr>
          <w:p w14:paraId="3958B27D" w14:textId="77777777" w:rsidR="00463617" w:rsidRPr="00463617" w:rsidRDefault="00463617" w:rsidP="004432D2">
            <w:pPr>
              <w:spacing w:after="0" w:line="240" w:lineRule="auto"/>
              <w:contextualSpacing/>
              <w:jc w:val="center"/>
              <w:rPr>
                <w:rFonts w:ascii="Times New Roman" w:hAnsi="Times New Roman"/>
                <w:b/>
                <w:bCs/>
                <w:sz w:val="20"/>
                <w:szCs w:val="20"/>
              </w:rPr>
            </w:pPr>
            <w:r w:rsidRPr="00463617">
              <w:rPr>
                <w:rFonts w:ascii="Times New Roman" w:hAnsi="Times New Roman"/>
                <w:b/>
                <w:bCs/>
                <w:sz w:val="20"/>
                <w:szCs w:val="20"/>
              </w:rPr>
              <w:t>Median RMSE</w:t>
            </w:r>
          </w:p>
        </w:tc>
        <w:tc>
          <w:tcPr>
            <w:tcW w:w="2472" w:type="dxa"/>
            <w:tcBorders>
              <w:top w:val="single" w:sz="8" w:space="0" w:color="auto"/>
              <w:bottom w:val="single" w:sz="18" w:space="0" w:color="auto"/>
            </w:tcBorders>
          </w:tcPr>
          <w:p w14:paraId="1AC437E9" w14:textId="77777777" w:rsidR="00463617" w:rsidRPr="00463617" w:rsidRDefault="00463617" w:rsidP="004432D2">
            <w:pPr>
              <w:spacing w:after="0" w:line="240" w:lineRule="auto"/>
              <w:contextualSpacing/>
              <w:jc w:val="center"/>
              <w:rPr>
                <w:rFonts w:ascii="Times New Roman" w:hAnsi="Times New Roman"/>
                <w:b/>
                <w:bCs/>
                <w:sz w:val="20"/>
                <w:szCs w:val="20"/>
              </w:rPr>
            </w:pPr>
            <w:r w:rsidRPr="00463617">
              <w:rPr>
                <w:rFonts w:ascii="Times New Roman" w:hAnsi="Times New Roman"/>
                <w:b/>
                <w:bCs/>
                <w:sz w:val="20"/>
                <w:szCs w:val="20"/>
              </w:rPr>
              <w:t>Wins (Lowest RMSE)</w:t>
            </w:r>
          </w:p>
        </w:tc>
      </w:tr>
      <w:tr w:rsidR="00463617" w:rsidRPr="00463617" w14:paraId="6C42609A" w14:textId="77777777" w:rsidTr="00700625">
        <w:trPr>
          <w:jc w:val="center"/>
        </w:trPr>
        <w:tc>
          <w:tcPr>
            <w:tcW w:w="1242" w:type="dxa"/>
            <w:tcBorders>
              <w:top w:val="single" w:sz="18" w:space="0" w:color="auto"/>
            </w:tcBorders>
          </w:tcPr>
          <w:p w14:paraId="7667ECD6" w14:textId="77777777" w:rsidR="00463617" w:rsidRPr="00463617" w:rsidRDefault="00463617" w:rsidP="004432D2">
            <w:pPr>
              <w:spacing w:after="0" w:line="240" w:lineRule="auto"/>
              <w:contextualSpacing/>
              <w:jc w:val="both"/>
              <w:rPr>
                <w:rFonts w:ascii="Times New Roman" w:hAnsi="Times New Roman"/>
                <w:b/>
                <w:bCs/>
                <w:sz w:val="20"/>
                <w:szCs w:val="20"/>
              </w:rPr>
            </w:pPr>
            <w:r w:rsidRPr="00463617">
              <w:rPr>
                <w:rFonts w:ascii="Times New Roman" w:hAnsi="Times New Roman"/>
                <w:b/>
                <w:bCs/>
                <w:sz w:val="20"/>
                <w:szCs w:val="20"/>
              </w:rPr>
              <w:t>ARIMA</w:t>
            </w:r>
          </w:p>
        </w:tc>
        <w:tc>
          <w:tcPr>
            <w:tcW w:w="1311" w:type="dxa"/>
            <w:tcBorders>
              <w:top w:val="single" w:sz="18" w:space="0" w:color="auto"/>
            </w:tcBorders>
          </w:tcPr>
          <w:p w14:paraId="0BF5C40F" w14:textId="77777777" w:rsidR="00463617" w:rsidRPr="00463617" w:rsidRDefault="00463617" w:rsidP="004432D2">
            <w:pPr>
              <w:spacing w:after="0" w:line="240" w:lineRule="auto"/>
              <w:ind w:firstLine="39"/>
              <w:contextualSpacing/>
              <w:jc w:val="center"/>
              <w:rPr>
                <w:rFonts w:ascii="Times New Roman" w:hAnsi="Times New Roman"/>
                <w:sz w:val="20"/>
                <w:szCs w:val="20"/>
              </w:rPr>
            </w:pPr>
            <w:r w:rsidRPr="00463617">
              <w:rPr>
                <w:rFonts w:ascii="Times New Roman" w:hAnsi="Times New Roman"/>
                <w:sz w:val="20"/>
                <w:szCs w:val="20"/>
              </w:rPr>
              <w:t>64.2</w:t>
            </w:r>
          </w:p>
        </w:tc>
        <w:tc>
          <w:tcPr>
            <w:tcW w:w="1462" w:type="dxa"/>
            <w:tcBorders>
              <w:top w:val="single" w:sz="18" w:space="0" w:color="auto"/>
            </w:tcBorders>
          </w:tcPr>
          <w:p w14:paraId="6E6F1FBB"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30.7</w:t>
            </w:r>
          </w:p>
        </w:tc>
        <w:tc>
          <w:tcPr>
            <w:tcW w:w="2472" w:type="dxa"/>
            <w:tcBorders>
              <w:top w:val="single" w:sz="18" w:space="0" w:color="auto"/>
            </w:tcBorders>
          </w:tcPr>
          <w:p w14:paraId="38213030"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0</w:t>
            </w:r>
          </w:p>
        </w:tc>
      </w:tr>
      <w:tr w:rsidR="00463617" w:rsidRPr="00463617" w14:paraId="131B8F31" w14:textId="77777777" w:rsidTr="00700625">
        <w:trPr>
          <w:jc w:val="center"/>
        </w:trPr>
        <w:tc>
          <w:tcPr>
            <w:tcW w:w="1242" w:type="dxa"/>
          </w:tcPr>
          <w:p w14:paraId="4980D281" w14:textId="77777777" w:rsidR="00463617" w:rsidRPr="00463617" w:rsidRDefault="00463617" w:rsidP="004432D2">
            <w:pPr>
              <w:spacing w:after="0" w:line="240" w:lineRule="auto"/>
              <w:contextualSpacing/>
              <w:jc w:val="both"/>
              <w:rPr>
                <w:rFonts w:ascii="Times New Roman" w:hAnsi="Times New Roman"/>
                <w:b/>
                <w:bCs/>
                <w:sz w:val="20"/>
                <w:szCs w:val="20"/>
              </w:rPr>
            </w:pPr>
            <w:r w:rsidRPr="00463617">
              <w:rPr>
                <w:rFonts w:ascii="Times New Roman" w:hAnsi="Times New Roman"/>
                <w:b/>
                <w:bCs/>
                <w:sz w:val="20"/>
                <w:szCs w:val="20"/>
              </w:rPr>
              <w:t>LSTM</w:t>
            </w:r>
          </w:p>
        </w:tc>
        <w:tc>
          <w:tcPr>
            <w:tcW w:w="1311" w:type="dxa"/>
          </w:tcPr>
          <w:p w14:paraId="6E1881B1" w14:textId="77777777" w:rsidR="00463617" w:rsidRPr="00463617" w:rsidRDefault="00463617" w:rsidP="004432D2">
            <w:pPr>
              <w:spacing w:after="0" w:line="240" w:lineRule="auto"/>
              <w:ind w:firstLine="39"/>
              <w:contextualSpacing/>
              <w:jc w:val="center"/>
              <w:rPr>
                <w:rFonts w:ascii="Times New Roman" w:hAnsi="Times New Roman"/>
                <w:sz w:val="20"/>
                <w:szCs w:val="20"/>
              </w:rPr>
            </w:pPr>
            <w:r w:rsidRPr="00463617">
              <w:rPr>
                <w:rFonts w:ascii="Times New Roman" w:hAnsi="Times New Roman"/>
                <w:sz w:val="20"/>
                <w:szCs w:val="20"/>
              </w:rPr>
              <w:t>24.86</w:t>
            </w:r>
          </w:p>
        </w:tc>
        <w:tc>
          <w:tcPr>
            <w:tcW w:w="1462" w:type="dxa"/>
          </w:tcPr>
          <w:p w14:paraId="3D34538B"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11.21</w:t>
            </w:r>
          </w:p>
        </w:tc>
        <w:tc>
          <w:tcPr>
            <w:tcW w:w="2472" w:type="dxa"/>
          </w:tcPr>
          <w:p w14:paraId="1B75D93C"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4</w:t>
            </w:r>
          </w:p>
        </w:tc>
      </w:tr>
      <w:tr w:rsidR="00463617" w:rsidRPr="00463617" w14:paraId="7592A58B" w14:textId="77777777" w:rsidTr="00700625">
        <w:trPr>
          <w:jc w:val="center"/>
        </w:trPr>
        <w:tc>
          <w:tcPr>
            <w:tcW w:w="1242" w:type="dxa"/>
            <w:tcBorders>
              <w:bottom w:val="single" w:sz="8" w:space="0" w:color="auto"/>
            </w:tcBorders>
          </w:tcPr>
          <w:p w14:paraId="23510DB7" w14:textId="77777777" w:rsidR="00463617" w:rsidRPr="00463617" w:rsidRDefault="00463617" w:rsidP="004432D2">
            <w:pPr>
              <w:spacing w:after="0" w:line="240" w:lineRule="auto"/>
              <w:contextualSpacing/>
              <w:jc w:val="both"/>
              <w:rPr>
                <w:rFonts w:ascii="Times New Roman" w:hAnsi="Times New Roman"/>
                <w:b/>
                <w:bCs/>
                <w:sz w:val="20"/>
                <w:szCs w:val="20"/>
              </w:rPr>
            </w:pPr>
            <w:r w:rsidRPr="00463617">
              <w:rPr>
                <w:rFonts w:ascii="Times New Roman" w:hAnsi="Times New Roman"/>
                <w:b/>
                <w:bCs/>
                <w:sz w:val="20"/>
                <w:szCs w:val="20"/>
              </w:rPr>
              <w:t>GAN</w:t>
            </w:r>
          </w:p>
        </w:tc>
        <w:tc>
          <w:tcPr>
            <w:tcW w:w="1311" w:type="dxa"/>
            <w:tcBorders>
              <w:bottom w:val="single" w:sz="8" w:space="0" w:color="auto"/>
            </w:tcBorders>
          </w:tcPr>
          <w:p w14:paraId="7787E0D2" w14:textId="77777777" w:rsidR="00463617" w:rsidRPr="00463617" w:rsidRDefault="00463617" w:rsidP="004432D2">
            <w:pPr>
              <w:spacing w:after="0" w:line="240" w:lineRule="auto"/>
              <w:ind w:firstLine="39"/>
              <w:contextualSpacing/>
              <w:jc w:val="center"/>
              <w:rPr>
                <w:rFonts w:ascii="Times New Roman" w:hAnsi="Times New Roman"/>
                <w:sz w:val="20"/>
                <w:szCs w:val="20"/>
              </w:rPr>
            </w:pPr>
            <w:r w:rsidRPr="00463617">
              <w:rPr>
                <w:rFonts w:ascii="Times New Roman" w:hAnsi="Times New Roman"/>
                <w:sz w:val="20"/>
                <w:szCs w:val="20"/>
              </w:rPr>
              <w:t>12.02</w:t>
            </w:r>
          </w:p>
        </w:tc>
        <w:tc>
          <w:tcPr>
            <w:tcW w:w="1462" w:type="dxa"/>
            <w:tcBorders>
              <w:bottom w:val="single" w:sz="8" w:space="0" w:color="auto"/>
            </w:tcBorders>
          </w:tcPr>
          <w:p w14:paraId="32C8D319"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8.79</w:t>
            </w:r>
          </w:p>
        </w:tc>
        <w:tc>
          <w:tcPr>
            <w:tcW w:w="2472" w:type="dxa"/>
            <w:tcBorders>
              <w:bottom w:val="single" w:sz="8" w:space="0" w:color="auto"/>
            </w:tcBorders>
          </w:tcPr>
          <w:p w14:paraId="5D5734D5" w14:textId="77777777" w:rsidR="00463617" w:rsidRPr="00463617" w:rsidRDefault="00463617" w:rsidP="004432D2">
            <w:pPr>
              <w:spacing w:after="0" w:line="240" w:lineRule="auto"/>
              <w:contextualSpacing/>
              <w:jc w:val="center"/>
              <w:rPr>
                <w:rFonts w:ascii="Times New Roman" w:hAnsi="Times New Roman"/>
                <w:sz w:val="20"/>
                <w:szCs w:val="20"/>
              </w:rPr>
            </w:pPr>
            <w:r w:rsidRPr="00463617">
              <w:rPr>
                <w:rFonts w:ascii="Times New Roman" w:hAnsi="Times New Roman"/>
                <w:sz w:val="20"/>
                <w:szCs w:val="20"/>
              </w:rPr>
              <w:t>2</w:t>
            </w:r>
          </w:p>
        </w:tc>
      </w:tr>
    </w:tbl>
    <w:p w14:paraId="1950F63C" w14:textId="77777777" w:rsidR="004432D2" w:rsidRDefault="004432D2" w:rsidP="00463617">
      <w:pPr>
        <w:spacing w:after="0" w:line="240" w:lineRule="auto"/>
        <w:ind w:firstLine="720"/>
        <w:contextualSpacing/>
        <w:jc w:val="both"/>
        <w:rPr>
          <w:rFonts w:ascii="Times New Roman" w:hAnsi="Times New Roman"/>
          <w:sz w:val="20"/>
          <w:szCs w:val="20"/>
        </w:rPr>
      </w:pPr>
    </w:p>
    <w:p w14:paraId="15E5C15B" w14:textId="3A8B9E9E"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The cumulative findings reveal that the LSTM-based model produces the lowest mean and median RMSE among assets; a very positive indicator of overall consistency in presenting the temporal relationship between stock price fluctuations. Conversely, sentiment-conditioned GAN model has fewer total wins but is competing on aggregate terms, which underscores its usefulness in a subset of assets with greater volatility and sentiment sensitivity. The ARIMA baseline has significantly large values of aggregate errors, which validates its weaknesses in the analysis of complicated, non-linear market dynamics.</w:t>
      </w:r>
    </w:p>
    <w:p w14:paraId="2A377D47" w14:textId="77777777" w:rsidR="00463617" w:rsidRPr="00463617" w:rsidRDefault="00463617" w:rsidP="00463617">
      <w:pPr>
        <w:spacing w:after="0" w:line="240" w:lineRule="auto"/>
        <w:ind w:firstLine="720"/>
        <w:contextualSpacing/>
        <w:jc w:val="both"/>
        <w:rPr>
          <w:rFonts w:ascii="Times New Roman" w:hAnsi="Times New Roman"/>
          <w:sz w:val="20"/>
          <w:szCs w:val="20"/>
        </w:rPr>
      </w:pPr>
      <w:r w:rsidRPr="00463617">
        <w:rPr>
          <w:rFonts w:ascii="Times New Roman" w:hAnsi="Times New Roman"/>
          <w:sz w:val="20"/>
          <w:szCs w:val="20"/>
        </w:rPr>
        <w:t>In general, the results of our evaluation support the asset-conditional character of model performance and also offer a robustness-oriented summary which supplements the more detailed analysis of stock levels that was discussed above. These aggregate findings are a quantitative basis of the comparative and qualitative discourse of the next Section.</w:t>
      </w:r>
    </w:p>
    <w:p w14:paraId="25B898D1" w14:textId="77777777" w:rsidR="00463617" w:rsidRPr="0023796F" w:rsidRDefault="00463617" w:rsidP="00FA77BA">
      <w:pPr>
        <w:spacing w:after="0" w:line="240" w:lineRule="auto"/>
        <w:ind w:firstLine="720"/>
        <w:contextualSpacing/>
        <w:jc w:val="both"/>
        <w:rPr>
          <w:rFonts w:ascii="Times New Roman" w:hAnsi="Times New Roman"/>
          <w:sz w:val="20"/>
          <w:szCs w:val="20"/>
        </w:rPr>
      </w:pPr>
    </w:p>
    <w:p w14:paraId="02FA3809" w14:textId="1EF06789" w:rsidR="0045551B" w:rsidRPr="00994441" w:rsidRDefault="00597334" w:rsidP="0045551B">
      <w:pPr>
        <w:pStyle w:val="a3"/>
        <w:numPr>
          <w:ilvl w:val="0"/>
          <w:numId w:val="4"/>
        </w:numPr>
        <w:spacing w:after="0" w:line="240" w:lineRule="auto"/>
        <w:ind w:left="360"/>
        <w:jc w:val="center"/>
        <w:rPr>
          <w:rFonts w:ascii="Times New Roman" w:hAnsi="Times New Roman"/>
          <w:sz w:val="20"/>
          <w:szCs w:val="20"/>
        </w:rPr>
      </w:pPr>
      <w:r>
        <w:rPr>
          <w:rFonts w:ascii="Times New Roman" w:hAnsi="Times New Roman"/>
          <w:b/>
          <w:szCs w:val="20"/>
        </w:rPr>
        <w:t>DISCUSSION AND FUTURE WORK DIRECTIONS</w:t>
      </w:r>
    </w:p>
    <w:p w14:paraId="582DD81D" w14:textId="77777777" w:rsidR="0045551B" w:rsidRPr="0045551B" w:rsidRDefault="0045551B" w:rsidP="0045551B">
      <w:pPr>
        <w:spacing w:after="0" w:line="240" w:lineRule="auto"/>
        <w:ind w:firstLine="720"/>
        <w:contextualSpacing/>
        <w:jc w:val="both"/>
        <w:rPr>
          <w:rFonts w:ascii="Times New Roman" w:hAnsi="Times New Roman"/>
          <w:sz w:val="20"/>
          <w:szCs w:val="20"/>
        </w:rPr>
      </w:pPr>
      <w:r w:rsidRPr="0045551B">
        <w:rPr>
          <w:rFonts w:ascii="Times New Roman" w:hAnsi="Times New Roman"/>
          <w:sz w:val="20"/>
          <w:szCs w:val="20"/>
        </w:rPr>
        <w:t xml:space="preserve">The empirical assessment shows that the performance of stock price forecasts is always conditional on asset specifics, and current market regimes as opposed to being governed by one modeling paradigm. This finding is in line with new insights on machine learning-based financial forecasting that highlights the significance of adaptive modeling techniques compared to general predictors (Zhang et al. 2024). Results reported in this context, are not to be perceived as a comparison of architectures, but rather as indicators of the responses of various learning mechanisms to different informational environments. Sequential deep learning structures are highly effective in those environments, where the dynamics of prices change according to quite stable time series. Recurrent memory models are best adapted to such dependencies, initially developed in the original work on LSTM networks (Hochreiter and Schmidhuber 1997) and since then involved in financial forecasting tasks (Nelson et al. 2017; Fischer and Krauss 2018). Historical price data seems to be adequate in producing correct short-term forecasting when market forces are largely endogenous, which restricts the marginal value of external contextual information. </w:t>
      </w:r>
    </w:p>
    <w:p w14:paraId="71C8AF2B" w14:textId="77777777" w:rsidR="0045551B" w:rsidRPr="0045551B" w:rsidRDefault="0045551B" w:rsidP="0045551B">
      <w:pPr>
        <w:spacing w:after="0" w:line="240" w:lineRule="auto"/>
        <w:ind w:firstLine="720"/>
        <w:contextualSpacing/>
        <w:jc w:val="both"/>
        <w:rPr>
          <w:rFonts w:ascii="Times New Roman" w:hAnsi="Times New Roman"/>
          <w:sz w:val="20"/>
          <w:szCs w:val="20"/>
        </w:rPr>
      </w:pPr>
      <w:r w:rsidRPr="0045551B">
        <w:rPr>
          <w:rFonts w:ascii="Times New Roman" w:hAnsi="Times New Roman"/>
          <w:sz w:val="20"/>
          <w:szCs w:val="20"/>
        </w:rPr>
        <w:t xml:space="preserve">Contrastingly, the incorporation of the sentiment information is most effective in stocks whose price action is more susceptible to the external stories, news, cycles and investor perceptions. Previous research has demonstrated that sentiment measures derived on the basis of textual data can reflect elements of market psychology that are not directly expressed by quantitative price data (Bollen et al. 2011; Azar  2016; Derakhshan and Beigy 2019). Training generative models with these cues allows the prediction procedure to react to sudden informational shocks, especially in a setting with a high volatility rate. Notably, the selectivity of this advantage supports the opinion that sentiment is a regime-specific indicator, and not a universally predictive aspect. These results have a larger implication to multimodal fusion of data in financial forecasting. The literature has shown that naive fusion approaches, including naive feature concatenation, do not typically fully take advantage of the complementary characteristics of heterogeneous data sources (Puh and </w:t>
      </w:r>
      <w:proofErr w:type="spellStart"/>
      <w:r w:rsidRPr="0045551B">
        <w:rPr>
          <w:rFonts w:ascii="Times New Roman" w:hAnsi="Times New Roman"/>
          <w:sz w:val="20"/>
          <w:szCs w:val="20"/>
        </w:rPr>
        <w:t>Bagić</w:t>
      </w:r>
      <w:proofErr w:type="spellEnd"/>
      <w:r w:rsidRPr="0045551B">
        <w:rPr>
          <w:rFonts w:ascii="Times New Roman" w:hAnsi="Times New Roman"/>
          <w:sz w:val="20"/>
          <w:szCs w:val="20"/>
        </w:rPr>
        <w:t xml:space="preserve"> </w:t>
      </w:r>
      <w:proofErr w:type="spellStart"/>
      <w:r w:rsidRPr="0045551B">
        <w:rPr>
          <w:rFonts w:ascii="Times New Roman" w:hAnsi="Times New Roman"/>
          <w:sz w:val="20"/>
          <w:szCs w:val="20"/>
        </w:rPr>
        <w:t>Babac</w:t>
      </w:r>
      <w:proofErr w:type="spellEnd"/>
      <w:r w:rsidRPr="0045551B">
        <w:rPr>
          <w:rFonts w:ascii="Times New Roman" w:hAnsi="Times New Roman"/>
          <w:sz w:val="20"/>
          <w:szCs w:val="20"/>
        </w:rPr>
        <w:t xml:space="preserve"> 2023; Moreno and </w:t>
      </w:r>
      <w:proofErr w:type="spellStart"/>
      <w:r w:rsidRPr="0045551B">
        <w:rPr>
          <w:rFonts w:ascii="Times New Roman" w:hAnsi="Times New Roman"/>
          <w:sz w:val="20"/>
          <w:szCs w:val="20"/>
        </w:rPr>
        <w:t>Ordieres</w:t>
      </w:r>
      <w:proofErr w:type="spellEnd"/>
      <w:r w:rsidRPr="0045551B">
        <w:rPr>
          <w:rFonts w:ascii="Times New Roman" w:hAnsi="Times New Roman"/>
          <w:sz w:val="20"/>
          <w:szCs w:val="20"/>
        </w:rPr>
        <w:t>-Mere 2025). Our findings indicate that conditioning processes, where contextual information actively determines the generative or predictive process, are better frameworks to capture distributional uncertainty. This is in line with the current developments of conditional generative modeling and sentiment-directed forecasting (</w:t>
      </w:r>
      <w:proofErr w:type="spellStart"/>
      <w:r w:rsidRPr="0045551B">
        <w:rPr>
          <w:rFonts w:ascii="Times New Roman" w:hAnsi="Times New Roman"/>
          <w:sz w:val="20"/>
          <w:szCs w:val="20"/>
        </w:rPr>
        <w:t>Sonkiya</w:t>
      </w:r>
      <w:proofErr w:type="spellEnd"/>
      <w:r w:rsidRPr="0045551B">
        <w:rPr>
          <w:rFonts w:ascii="Times New Roman" w:hAnsi="Times New Roman"/>
          <w:sz w:val="20"/>
          <w:szCs w:val="20"/>
        </w:rPr>
        <w:t xml:space="preserve"> et al. 2021; Vuletić et al. 2023).</w:t>
      </w:r>
    </w:p>
    <w:p w14:paraId="3AF4EE45" w14:textId="77777777" w:rsidR="0045551B" w:rsidRPr="0045551B" w:rsidRDefault="0045551B" w:rsidP="0045551B">
      <w:pPr>
        <w:spacing w:after="0" w:line="240" w:lineRule="auto"/>
        <w:ind w:firstLine="720"/>
        <w:contextualSpacing/>
        <w:jc w:val="both"/>
        <w:rPr>
          <w:rFonts w:ascii="Times New Roman" w:hAnsi="Times New Roman"/>
          <w:sz w:val="20"/>
          <w:szCs w:val="20"/>
        </w:rPr>
      </w:pPr>
      <w:r w:rsidRPr="0045551B">
        <w:rPr>
          <w:rFonts w:ascii="Times New Roman" w:hAnsi="Times New Roman"/>
          <w:sz w:val="20"/>
          <w:szCs w:val="20"/>
        </w:rPr>
        <w:t xml:space="preserve">The relatively poor results of the traditional statistical methods draw modeling conclusions about the inadequacy of the linear assumptions in modern financial markets. Although autoregressive models are still </w:t>
      </w:r>
      <w:r w:rsidRPr="0045551B">
        <w:rPr>
          <w:rFonts w:ascii="Times New Roman" w:hAnsi="Times New Roman"/>
          <w:sz w:val="20"/>
          <w:szCs w:val="20"/>
        </w:rPr>
        <w:lastRenderedPageBreak/>
        <w:t xml:space="preserve">applicable in terms of interpretability and benchmarking (Box et al. 2015), they have representational weaknesses and can be designed to deal with nonlinear dependence, regime change, and exogenous information flow. Other recent comparative surveys have come up with similar findings, highlighting the widening gap in performance of classical and deep learning architectures in complex market settings (Rouf et al. 2021; Zhang et al. 2024; </w:t>
      </w:r>
      <w:proofErr w:type="spellStart"/>
      <w:r w:rsidRPr="0045551B">
        <w:rPr>
          <w:rFonts w:ascii="Times New Roman" w:hAnsi="Times New Roman"/>
          <w:sz w:val="20"/>
          <w:szCs w:val="20"/>
        </w:rPr>
        <w:t>Benidis</w:t>
      </w:r>
      <w:proofErr w:type="spellEnd"/>
      <w:r w:rsidRPr="0045551B">
        <w:rPr>
          <w:rFonts w:ascii="Times New Roman" w:hAnsi="Times New Roman"/>
          <w:sz w:val="20"/>
          <w:szCs w:val="20"/>
        </w:rPr>
        <w:t xml:space="preserve"> et al. 2022). Our findings have also a wider implication to the general debate on market behavior and information efficiency beyond predictive considerations. The fact that sentiment-conditioned models have performed better in certain situations aligns with theories of behavioral finance, which highlight the significance of investor sentiment and limited rationality in the dynamic of short-term price movements (Kahneman and Tversky 1979; Shiller 2015). At the same time, these findings do not mean constant inefficiencies and predictability since short-lived informational impacts can quickly fade away as markets adapt. This reading is consistent with a moderate opinion of market efficiency, in which temporary aberrations can be compatible with long-term adaptive behavior (Fama 1970).</w:t>
      </w:r>
    </w:p>
    <w:p w14:paraId="6165AB66" w14:textId="77777777" w:rsidR="0045551B" w:rsidRPr="0045551B" w:rsidRDefault="0045551B" w:rsidP="0045551B">
      <w:pPr>
        <w:spacing w:after="0" w:line="240" w:lineRule="auto"/>
        <w:ind w:firstLine="720"/>
        <w:contextualSpacing/>
        <w:jc w:val="both"/>
        <w:rPr>
          <w:rFonts w:ascii="Times New Roman" w:hAnsi="Times New Roman"/>
          <w:sz w:val="20"/>
          <w:szCs w:val="20"/>
        </w:rPr>
      </w:pPr>
      <w:r w:rsidRPr="0045551B">
        <w:rPr>
          <w:rFonts w:ascii="Times New Roman" w:hAnsi="Times New Roman"/>
          <w:sz w:val="20"/>
          <w:szCs w:val="20"/>
        </w:rPr>
        <w:t>There are some shortcomings that one should take into consideration when explaining the current findings. The data are analyzed based on daily information and sentiment derived from social media, which might not reflect intra-day changes and longer-term information impacts. Previous research has indicated that sentiment signals are noisy and platform-specific and could be biased unless put into context (Turney and Littman 2003; Whissell 1989). Further, even sophisticated architectures have a hard time attaining extreme volatility, which highlights the uncertainty of financial markets and the challenge of providing predictive performance that is stable even in highly turbulent markets.</w:t>
      </w:r>
    </w:p>
    <w:p w14:paraId="146D5C32" w14:textId="77777777" w:rsidR="0045551B" w:rsidRPr="0045551B" w:rsidRDefault="0045551B" w:rsidP="0045551B">
      <w:pPr>
        <w:spacing w:after="0" w:line="240" w:lineRule="auto"/>
        <w:ind w:firstLine="720"/>
        <w:contextualSpacing/>
        <w:jc w:val="both"/>
        <w:rPr>
          <w:rFonts w:ascii="Times New Roman" w:hAnsi="Times New Roman"/>
          <w:sz w:val="20"/>
          <w:szCs w:val="20"/>
        </w:rPr>
      </w:pPr>
      <w:r w:rsidRPr="0045551B">
        <w:rPr>
          <w:rFonts w:ascii="Times New Roman" w:hAnsi="Times New Roman"/>
          <w:sz w:val="20"/>
          <w:szCs w:val="20"/>
        </w:rPr>
        <w:t xml:space="preserve">Finally, future research can expand this study by investigating regime conscious architectures that dynamically change their dependence on numerical and textual inputs. Another attractive direction is the integration of alternative contextual sources, e.g. macroeconomic indicators, analyst reports, or option-implied measures (Xu et al. 2024; Woo et al. 2025). Furthermore, explainability methods may be included to make the implementation more transparent and practically relevant, especially in high-stakes financial implementations. Together, these guidelines demonstrate that context-sensitive deep-learning models can be used to make financial predictions and consider the structural uncertainty of market dynamics. </w:t>
      </w:r>
    </w:p>
    <w:p w14:paraId="68F53737" w14:textId="77777777" w:rsidR="00610C57" w:rsidRDefault="00610C57" w:rsidP="00DF171E">
      <w:pPr>
        <w:spacing w:after="0" w:line="240" w:lineRule="auto"/>
        <w:rPr>
          <w:rFonts w:ascii="Times New Roman" w:hAnsi="Times New Roman"/>
          <w:sz w:val="20"/>
          <w:szCs w:val="20"/>
        </w:rPr>
      </w:pPr>
    </w:p>
    <w:p w14:paraId="22541DC3" w14:textId="1F3F3E37" w:rsidR="009F185B" w:rsidRPr="006D2DFB" w:rsidRDefault="009E7DDB" w:rsidP="006D2DFB">
      <w:pPr>
        <w:spacing w:after="0" w:line="240" w:lineRule="auto"/>
        <w:jc w:val="center"/>
        <w:rPr>
          <w:rFonts w:ascii="Times New Roman" w:hAnsi="Times New Roman"/>
          <w:b/>
          <w:szCs w:val="20"/>
        </w:rPr>
      </w:pPr>
      <w:r w:rsidRPr="006D2DFB">
        <w:rPr>
          <w:rFonts w:ascii="Times New Roman" w:hAnsi="Times New Roman"/>
          <w:b/>
          <w:szCs w:val="20"/>
        </w:rPr>
        <w:t>REFERENCES</w:t>
      </w:r>
    </w:p>
    <w:p w14:paraId="0BF11A83"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Azar P (2016) The wisdom of Twitter crowds: predicting stock market reactions to FOMC meetings via Twitter feeds. SSRN Electronic Journal. </w:t>
      </w:r>
      <w:hyperlink r:id="rId14" w:history="1">
        <w:r w:rsidRPr="00CE4EC3">
          <w:rPr>
            <w:rStyle w:val="-"/>
            <w:rFonts w:ascii="Times New Roman" w:hAnsi="Times New Roman"/>
            <w:noProof/>
            <w:sz w:val="20"/>
            <w:szCs w:val="20"/>
          </w:rPr>
          <w:t>https://doi.org/10.2139/ssrn.2756815</w:t>
        </w:r>
      </w:hyperlink>
      <w:r w:rsidRPr="00CE4EC3">
        <w:rPr>
          <w:rFonts w:ascii="Times New Roman" w:hAnsi="Times New Roman"/>
          <w:noProof/>
          <w:sz w:val="20"/>
          <w:szCs w:val="20"/>
        </w:rPr>
        <w:t xml:space="preserve"> </w:t>
      </w:r>
    </w:p>
    <w:p w14:paraId="3B92C891"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Bengio Y, Simard P, Frasconi P (1994) Learning long-term dependencies with gradient descent is difficult. IEEE Transactions on Neural Networks 5(2):157–166. </w:t>
      </w:r>
      <w:hyperlink r:id="rId15" w:history="1">
        <w:r w:rsidRPr="00CE4EC3">
          <w:rPr>
            <w:rStyle w:val="-"/>
            <w:rFonts w:ascii="Times New Roman" w:hAnsi="Times New Roman"/>
            <w:noProof/>
            <w:sz w:val="20"/>
            <w:szCs w:val="20"/>
          </w:rPr>
          <w:t>https://doi.org/10.1109/72.279181</w:t>
        </w:r>
      </w:hyperlink>
      <w:r w:rsidRPr="00CE4EC3">
        <w:rPr>
          <w:rFonts w:ascii="Times New Roman" w:hAnsi="Times New Roman"/>
          <w:noProof/>
          <w:sz w:val="20"/>
          <w:szCs w:val="20"/>
        </w:rPr>
        <w:t xml:space="preserve"> </w:t>
      </w:r>
    </w:p>
    <w:p w14:paraId="09252644"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Benidis K, Rangapuram SS, Flunkert V, Wang Y, Maddix D, Turkmen C, Gasthaus J, Bohlke-Schneider M, Salinas D, Stella L, Aubet F-X, Callot L, Januschowski T (2022) Deep learning for time series forecasting: tutorial and literature survey. ACM Computing Surveys. </w:t>
      </w:r>
      <w:hyperlink r:id="rId16" w:history="1">
        <w:r w:rsidRPr="00CE4EC3">
          <w:rPr>
            <w:rStyle w:val="-"/>
            <w:rFonts w:ascii="Times New Roman" w:hAnsi="Times New Roman"/>
            <w:noProof/>
            <w:sz w:val="20"/>
            <w:szCs w:val="20"/>
          </w:rPr>
          <w:t>https://doi.org/10.1145/3533382</w:t>
        </w:r>
      </w:hyperlink>
      <w:r w:rsidRPr="00CE4EC3">
        <w:rPr>
          <w:rFonts w:ascii="Times New Roman" w:hAnsi="Times New Roman"/>
          <w:noProof/>
          <w:sz w:val="20"/>
          <w:szCs w:val="20"/>
        </w:rPr>
        <w:t xml:space="preserve"> </w:t>
      </w:r>
    </w:p>
    <w:p w14:paraId="7139AC08"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Billings D, Yang J-S (2006) Application of the ARIMA models to urban roadway travel time prediction: a case study. In: Proceedings of the IEEE International Conference on Systems, Man and Cybernetics. IEEE, pp 2529–2534. </w:t>
      </w:r>
      <w:hyperlink r:id="rId17" w:history="1">
        <w:r w:rsidRPr="00CE4EC3">
          <w:rPr>
            <w:rStyle w:val="-"/>
            <w:rFonts w:ascii="Times New Roman" w:hAnsi="Times New Roman"/>
            <w:noProof/>
            <w:sz w:val="20"/>
            <w:szCs w:val="20"/>
          </w:rPr>
          <w:t>https://doi.org/10.1109/ICSMC.2006.385244</w:t>
        </w:r>
      </w:hyperlink>
      <w:r w:rsidRPr="00CE4EC3">
        <w:rPr>
          <w:rFonts w:ascii="Times New Roman" w:hAnsi="Times New Roman"/>
          <w:noProof/>
          <w:sz w:val="20"/>
          <w:szCs w:val="20"/>
        </w:rPr>
        <w:t xml:space="preserve"> </w:t>
      </w:r>
    </w:p>
    <w:p w14:paraId="4C89AAFD"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Bollen J, Mao H, Zeng X (2011) Twitter mood predicts the stock market. Journal of Computational Science 2(1):1–8. </w:t>
      </w:r>
      <w:hyperlink r:id="rId18" w:history="1">
        <w:r w:rsidRPr="00CE4EC3">
          <w:rPr>
            <w:rStyle w:val="-"/>
            <w:rFonts w:ascii="Times New Roman" w:hAnsi="Times New Roman"/>
            <w:noProof/>
            <w:sz w:val="20"/>
            <w:szCs w:val="20"/>
          </w:rPr>
          <w:t>https://doi.org/10.1016/j.jocs.2010.12.007</w:t>
        </w:r>
      </w:hyperlink>
      <w:r w:rsidRPr="00CE4EC3">
        <w:rPr>
          <w:rFonts w:ascii="Times New Roman" w:hAnsi="Times New Roman"/>
          <w:noProof/>
          <w:sz w:val="20"/>
          <w:szCs w:val="20"/>
        </w:rPr>
        <w:t xml:space="preserve"> </w:t>
      </w:r>
    </w:p>
    <w:p w14:paraId="58717DF5"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Box GEP, Jenkins GM, Reinsel GC, Ljung GM (2015) Time series analysis: forecasting and control, 5th edn. Wiley, Hoboken, NJ </w:t>
      </w:r>
    </w:p>
    <w:p w14:paraId="14F9F5E0" w14:textId="57EFD014"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Brophy E, Wang Z, She Q, Ward TE (2023) Generative adversarial networks in time series: a systematic literature review. ACM Computing Surveys 55(10):199. </w:t>
      </w:r>
      <w:hyperlink r:id="rId19" w:history="1">
        <w:r w:rsidR="00080334" w:rsidRPr="00CE4EC3">
          <w:rPr>
            <w:rStyle w:val="-"/>
            <w:rFonts w:ascii="Times New Roman" w:hAnsi="Times New Roman"/>
            <w:noProof/>
            <w:sz w:val="20"/>
            <w:szCs w:val="20"/>
          </w:rPr>
          <w:t>https://doi.org/10.1145/3559540</w:t>
        </w:r>
      </w:hyperlink>
      <w:r w:rsidR="00080334">
        <w:rPr>
          <w:rFonts w:ascii="Times New Roman" w:hAnsi="Times New Roman"/>
          <w:noProof/>
          <w:sz w:val="20"/>
          <w:szCs w:val="20"/>
        </w:rPr>
        <w:t xml:space="preserve"> </w:t>
      </w:r>
    </w:p>
    <w:p w14:paraId="545A4BFE"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Dedotsi S, Lazanas A, Siachos I, Teloni DD, Telonis AG (2023) Discrete clusters formulation through the exploitation of optimized k-modes algorithm for hypotheses validation in social work research: the case of Greek social workers working with refugees. BOHR International Journal of Internet of Things, Artificial Intelligence and Machine Learning 2(1):11–18. </w:t>
      </w:r>
      <w:hyperlink r:id="rId20" w:history="1">
        <w:r w:rsidRPr="00CE4EC3">
          <w:rPr>
            <w:rStyle w:val="-"/>
            <w:rFonts w:ascii="Times New Roman" w:hAnsi="Times New Roman"/>
            <w:noProof/>
            <w:sz w:val="20"/>
            <w:szCs w:val="20"/>
          </w:rPr>
          <w:t>https://doi.org/10.54646/bijiam.2023.12</w:t>
        </w:r>
      </w:hyperlink>
      <w:r w:rsidRPr="00CE4EC3">
        <w:rPr>
          <w:rFonts w:ascii="Times New Roman" w:hAnsi="Times New Roman"/>
          <w:noProof/>
          <w:sz w:val="20"/>
          <w:szCs w:val="20"/>
        </w:rPr>
        <w:t xml:space="preserve"> </w:t>
      </w:r>
    </w:p>
    <w:p w14:paraId="27224344"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Derakhshan A, Beigy H (2019) Sentiment analysis on stock social media for stock price movement prediction. Engineering Applications of Artificial Intelligence 85:569–578. </w:t>
      </w:r>
      <w:hyperlink r:id="rId21" w:history="1">
        <w:r w:rsidRPr="00CE4EC3">
          <w:rPr>
            <w:rStyle w:val="-"/>
            <w:rFonts w:ascii="Times New Roman" w:hAnsi="Times New Roman"/>
            <w:noProof/>
            <w:sz w:val="20"/>
            <w:szCs w:val="20"/>
          </w:rPr>
          <w:t>https://doi.org/10.1016/j.engappai.2019.07.002</w:t>
        </w:r>
      </w:hyperlink>
      <w:r w:rsidRPr="00CE4EC3">
        <w:rPr>
          <w:rFonts w:ascii="Times New Roman" w:hAnsi="Times New Roman"/>
          <w:noProof/>
          <w:sz w:val="20"/>
          <w:szCs w:val="20"/>
        </w:rPr>
        <w:t xml:space="preserve"> </w:t>
      </w:r>
    </w:p>
    <w:p w14:paraId="687B4212"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Emami H, Dang X-H, Shah Y, Zerfos P (2023) Modality-aware transformer for financial time series forecasting. arXiv preprint. arXiv:2310.01232</w:t>
      </w:r>
    </w:p>
    <w:p w14:paraId="5BA2997C"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Engle RF (1982) Autoregressive conditional heteroscedasticity with estimates of the variance of United Kingdom inflation. Econometrica 50(4):987–1007. </w:t>
      </w:r>
      <w:hyperlink r:id="rId22" w:history="1">
        <w:r w:rsidRPr="00CE4EC3">
          <w:rPr>
            <w:rStyle w:val="-"/>
            <w:rFonts w:ascii="Times New Roman" w:hAnsi="Times New Roman"/>
            <w:noProof/>
            <w:sz w:val="20"/>
            <w:szCs w:val="20"/>
          </w:rPr>
          <w:t>https://doi.org/10.2307/1912773</w:t>
        </w:r>
      </w:hyperlink>
      <w:r w:rsidRPr="00CE4EC3">
        <w:rPr>
          <w:rFonts w:ascii="Times New Roman" w:hAnsi="Times New Roman"/>
          <w:noProof/>
          <w:sz w:val="20"/>
          <w:szCs w:val="20"/>
        </w:rPr>
        <w:t xml:space="preserve">  </w:t>
      </w:r>
    </w:p>
    <w:p w14:paraId="07E707F0"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Fama EF (1970) Efficient capital markets: a review of theory and empirical work. The Journal of Finance 25(2):383–417. </w:t>
      </w:r>
      <w:hyperlink r:id="rId23" w:history="1">
        <w:r w:rsidRPr="00CE4EC3">
          <w:rPr>
            <w:rStyle w:val="-"/>
            <w:rFonts w:ascii="Times New Roman" w:hAnsi="Times New Roman"/>
            <w:noProof/>
            <w:sz w:val="20"/>
            <w:szCs w:val="20"/>
          </w:rPr>
          <w:t>https://doi.org/10.1111/j.1540-6261.1970.tb00518.x</w:t>
        </w:r>
      </w:hyperlink>
      <w:r w:rsidRPr="00CE4EC3">
        <w:rPr>
          <w:rFonts w:ascii="Times New Roman" w:hAnsi="Times New Roman"/>
          <w:noProof/>
          <w:sz w:val="20"/>
          <w:szCs w:val="20"/>
        </w:rPr>
        <w:t xml:space="preserve"> </w:t>
      </w:r>
    </w:p>
    <w:p w14:paraId="45282627"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Fischer T, Krauss C (2018) Deep learning with long short-term memory networks for financial market predictions. European Journal of Operational Research 270(2): 654–669. </w:t>
      </w:r>
      <w:hyperlink r:id="rId24" w:history="1">
        <w:r w:rsidRPr="00CE4EC3">
          <w:rPr>
            <w:rStyle w:val="-"/>
            <w:rFonts w:ascii="Times New Roman" w:hAnsi="Times New Roman"/>
            <w:noProof/>
            <w:sz w:val="20"/>
            <w:szCs w:val="20"/>
          </w:rPr>
          <w:t>https://doi.org/10.1016/j.ejor.2017.11.054</w:t>
        </w:r>
      </w:hyperlink>
      <w:r w:rsidRPr="00CE4EC3">
        <w:rPr>
          <w:rFonts w:ascii="Times New Roman" w:hAnsi="Times New Roman"/>
          <w:noProof/>
          <w:sz w:val="20"/>
          <w:szCs w:val="20"/>
        </w:rPr>
        <w:t xml:space="preserve"> </w:t>
      </w:r>
    </w:p>
    <w:p w14:paraId="304C8734"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Goodfellow I (2016) NIPS 2016 tutorial: generative adversarial networks. arXiv preprint. arXiv:1701.00160</w:t>
      </w:r>
    </w:p>
    <w:p w14:paraId="02EB91FD"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Goodfellow IJ, Pouget-Abadie J, Mirza M, Xu B, Warde-Farley D, Ozair S, Courville A, Bengio Y (2014) Generative adversarial networks. arXiv preprint. arXiv:1406.2661</w:t>
      </w:r>
    </w:p>
    <w:p w14:paraId="224C3DF3" w14:textId="160BEEF0"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Hochreiter S, Schmidhuber J (1997) Long short-term memory. Neural Computation 9(8):1735–1780. </w:t>
      </w:r>
      <w:hyperlink r:id="rId25" w:history="1">
        <w:r w:rsidR="00080334" w:rsidRPr="00CE4EC3">
          <w:rPr>
            <w:rStyle w:val="-"/>
            <w:rFonts w:ascii="Times New Roman" w:hAnsi="Times New Roman"/>
            <w:noProof/>
            <w:sz w:val="20"/>
            <w:szCs w:val="20"/>
          </w:rPr>
          <w:t>https://doi.org/10.1162/neco.1997.9.8.1735</w:t>
        </w:r>
      </w:hyperlink>
      <w:r w:rsidR="00080334">
        <w:rPr>
          <w:rFonts w:ascii="Times New Roman" w:hAnsi="Times New Roman"/>
          <w:noProof/>
          <w:sz w:val="20"/>
          <w:szCs w:val="20"/>
        </w:rPr>
        <w:t xml:space="preserve"> </w:t>
      </w:r>
    </w:p>
    <w:p w14:paraId="61F15F1B" w14:textId="246EE174"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Julian T, Devrison T, Anora V, Suryaningrum KM (2023) Stock price prediction model using deep learning optimization based on technical analysis indicators. Procedia Computer Science 227:939–947. </w:t>
      </w:r>
      <w:hyperlink r:id="rId26" w:history="1">
        <w:r w:rsidR="00080334" w:rsidRPr="00CE4EC3">
          <w:rPr>
            <w:rStyle w:val="-"/>
            <w:rFonts w:ascii="Times New Roman" w:hAnsi="Times New Roman"/>
            <w:noProof/>
            <w:sz w:val="20"/>
            <w:szCs w:val="20"/>
          </w:rPr>
          <w:t>https://doi.org/10.1016/j.procs.2023.10.601</w:t>
        </w:r>
      </w:hyperlink>
      <w:r w:rsidR="00080334">
        <w:rPr>
          <w:rFonts w:ascii="Times New Roman" w:hAnsi="Times New Roman"/>
          <w:noProof/>
          <w:sz w:val="20"/>
          <w:szCs w:val="20"/>
        </w:rPr>
        <w:t xml:space="preserve"> </w:t>
      </w:r>
    </w:p>
    <w:p w14:paraId="03DA78C3"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Kahneman D, Tversky A (1979) Prospect theory: an analysis of decision under risk. Econometrica 47(2):263–291. </w:t>
      </w:r>
      <w:hyperlink r:id="rId27" w:history="1">
        <w:r w:rsidRPr="00CE4EC3">
          <w:rPr>
            <w:rStyle w:val="-"/>
            <w:rFonts w:ascii="Times New Roman" w:hAnsi="Times New Roman"/>
            <w:noProof/>
            <w:sz w:val="20"/>
            <w:szCs w:val="20"/>
          </w:rPr>
          <w:t>https://doi.org/10.2307/1914185</w:t>
        </w:r>
      </w:hyperlink>
      <w:r w:rsidRPr="00CE4EC3">
        <w:rPr>
          <w:rFonts w:ascii="Times New Roman" w:hAnsi="Times New Roman"/>
          <w:noProof/>
          <w:sz w:val="20"/>
          <w:szCs w:val="20"/>
        </w:rPr>
        <w:t xml:space="preserve"> </w:t>
      </w:r>
    </w:p>
    <w:p w14:paraId="6F577E2B" w14:textId="6378E6EE"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Kim C, Kim S, Kim J, Lee D, Kim S (2021) Automated learning rate scheduler for large-batch training. arXiv preprint. arXiv:2107.05848</w:t>
      </w:r>
    </w:p>
    <w:p w14:paraId="0A9033B5" w14:textId="66BE1AD0"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Leung CKS, MacKinnon RK, Wang Y (2014) A machine learning approach for stock price prediction. In: Proceedings of the 18th International Database Engineering and Applications Symposium. ACM, pp 274–277. </w:t>
      </w:r>
      <w:hyperlink r:id="rId28" w:history="1">
        <w:r w:rsidR="007C3AFE" w:rsidRPr="00CE4EC3">
          <w:rPr>
            <w:rStyle w:val="-"/>
            <w:rFonts w:ascii="Times New Roman" w:hAnsi="Times New Roman"/>
            <w:noProof/>
            <w:sz w:val="20"/>
            <w:szCs w:val="20"/>
          </w:rPr>
          <w:t>https://doi.org/10.1145/2628194.2628211</w:t>
        </w:r>
      </w:hyperlink>
      <w:r w:rsidR="007C3AFE">
        <w:rPr>
          <w:rFonts w:ascii="Times New Roman" w:hAnsi="Times New Roman"/>
          <w:noProof/>
          <w:sz w:val="20"/>
          <w:szCs w:val="20"/>
        </w:rPr>
        <w:t xml:space="preserve"> </w:t>
      </w:r>
    </w:p>
    <w:p w14:paraId="591C5270" w14:textId="3755F82C"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Li S (2025) Enhancing stock price prediction using GANs and transformer-based attention mechanisms. Empirical Economics. </w:t>
      </w:r>
      <w:hyperlink r:id="rId29" w:history="1">
        <w:r w:rsidR="007C3AFE" w:rsidRPr="00CE4EC3">
          <w:rPr>
            <w:rStyle w:val="-"/>
            <w:rFonts w:ascii="Times New Roman" w:hAnsi="Times New Roman"/>
            <w:noProof/>
            <w:sz w:val="20"/>
            <w:szCs w:val="20"/>
          </w:rPr>
          <w:t>https://doi.org/10.1007/s00181-024-02644-6</w:t>
        </w:r>
      </w:hyperlink>
      <w:r w:rsidR="007C3AFE">
        <w:rPr>
          <w:rFonts w:ascii="Times New Roman" w:hAnsi="Times New Roman"/>
          <w:noProof/>
          <w:sz w:val="20"/>
          <w:szCs w:val="20"/>
        </w:rPr>
        <w:t xml:space="preserve"> </w:t>
      </w:r>
    </w:p>
    <w:p w14:paraId="2E93688F" w14:textId="3EA4333E"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Moreno A, Ordieres-Meré J (2025) Predicting stock price trends using language models to extract the sentiment from analyst reports: evidence from IBEX 35-listed companies. Economics Letters 112404. </w:t>
      </w:r>
      <w:hyperlink r:id="rId30" w:history="1">
        <w:r w:rsidR="007C3AFE" w:rsidRPr="00CE4EC3">
          <w:rPr>
            <w:rStyle w:val="-"/>
            <w:rFonts w:ascii="Times New Roman" w:hAnsi="Times New Roman"/>
            <w:noProof/>
            <w:sz w:val="20"/>
            <w:szCs w:val="20"/>
          </w:rPr>
          <w:t>https://doi.org/10.1016/j.econlet.2025.112404</w:t>
        </w:r>
      </w:hyperlink>
      <w:r w:rsidR="007C3AFE">
        <w:rPr>
          <w:rFonts w:ascii="Times New Roman" w:hAnsi="Times New Roman"/>
          <w:noProof/>
          <w:sz w:val="20"/>
          <w:szCs w:val="20"/>
        </w:rPr>
        <w:t xml:space="preserve"> </w:t>
      </w:r>
    </w:p>
    <w:p w14:paraId="681EEF91" w14:textId="497BAB54"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Nelson DMQ, Pereira ACM, de Oliveira RA (2017) Stock market’s price movement prediction with LSTM neural networks. In: Proceedings of the International Joint Conference on Neural Networks. IEEE, pp 1419–1426. </w:t>
      </w:r>
      <w:hyperlink r:id="rId31" w:history="1">
        <w:r w:rsidR="007C3AFE" w:rsidRPr="00CE4EC3">
          <w:rPr>
            <w:rStyle w:val="-"/>
            <w:rFonts w:ascii="Times New Roman" w:hAnsi="Times New Roman"/>
            <w:noProof/>
            <w:sz w:val="20"/>
            <w:szCs w:val="20"/>
          </w:rPr>
          <w:t>https://doi.org/10.1109/IJCNN.2017.7966019</w:t>
        </w:r>
      </w:hyperlink>
      <w:r w:rsidR="007C3AFE">
        <w:rPr>
          <w:rFonts w:ascii="Times New Roman" w:hAnsi="Times New Roman"/>
          <w:noProof/>
          <w:sz w:val="20"/>
          <w:szCs w:val="20"/>
        </w:rPr>
        <w:t xml:space="preserve"> </w:t>
      </w:r>
    </w:p>
    <w:p w14:paraId="05D981AB" w14:textId="63FDEDB1"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Prechelt L (2012) Early stopping — but when? In: Montavon G, Orr GB, Müller K-R (eds) Neural networks: tricks of the trade, 2nd edn. Springer, pp 53–67. </w:t>
      </w:r>
      <w:hyperlink r:id="rId32" w:history="1">
        <w:r w:rsidR="007C3AFE" w:rsidRPr="00CE4EC3">
          <w:rPr>
            <w:rStyle w:val="-"/>
            <w:rFonts w:ascii="Times New Roman" w:hAnsi="Times New Roman"/>
            <w:noProof/>
            <w:sz w:val="20"/>
            <w:szCs w:val="20"/>
          </w:rPr>
          <w:t>https://doi.org/10.1007/978-3-642-35289-8_5</w:t>
        </w:r>
      </w:hyperlink>
      <w:r w:rsidR="007C3AFE">
        <w:rPr>
          <w:rFonts w:ascii="Times New Roman" w:hAnsi="Times New Roman"/>
          <w:noProof/>
          <w:sz w:val="20"/>
          <w:szCs w:val="20"/>
        </w:rPr>
        <w:t xml:space="preserve"> </w:t>
      </w:r>
    </w:p>
    <w:p w14:paraId="0450377F" w14:textId="7C9E5EAE"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Puh K, Bagić Babac M (2023) Predicting stock market using natural language processing. American Journal of Business 38(2):41–61. </w:t>
      </w:r>
      <w:hyperlink r:id="rId33" w:history="1">
        <w:r w:rsidR="007C3AFE" w:rsidRPr="00CE4EC3">
          <w:rPr>
            <w:rStyle w:val="-"/>
            <w:rFonts w:ascii="Times New Roman" w:hAnsi="Times New Roman"/>
            <w:noProof/>
            <w:sz w:val="20"/>
            <w:szCs w:val="20"/>
          </w:rPr>
          <w:t>https://doi.org/10.1108/AJB-08-2022-0124</w:t>
        </w:r>
      </w:hyperlink>
      <w:r w:rsidR="007C3AFE">
        <w:rPr>
          <w:rFonts w:ascii="Times New Roman" w:hAnsi="Times New Roman"/>
          <w:noProof/>
          <w:sz w:val="20"/>
          <w:szCs w:val="20"/>
        </w:rPr>
        <w:t xml:space="preserve"> </w:t>
      </w:r>
    </w:p>
    <w:p w14:paraId="146DA35C"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Rouf N et al (2021) Stock market prediction using machine learning techniques: a decade survey on methodologies, recent developments, and future directions. Applied Sciences 10(21):2717. </w:t>
      </w:r>
      <w:hyperlink r:id="rId34" w:history="1">
        <w:r w:rsidRPr="00CE4EC3">
          <w:rPr>
            <w:rStyle w:val="-"/>
            <w:rFonts w:ascii="Times New Roman" w:hAnsi="Times New Roman"/>
            <w:noProof/>
            <w:sz w:val="20"/>
            <w:szCs w:val="20"/>
          </w:rPr>
          <w:t>https://doi.org/10.3390/electronics10212717</w:t>
        </w:r>
      </w:hyperlink>
      <w:r w:rsidRPr="00CE4EC3">
        <w:rPr>
          <w:rFonts w:ascii="Times New Roman" w:hAnsi="Times New Roman"/>
          <w:noProof/>
          <w:sz w:val="20"/>
          <w:szCs w:val="20"/>
        </w:rPr>
        <w:t xml:space="preserve"> </w:t>
      </w:r>
    </w:p>
    <w:p w14:paraId="4D20B7F1"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Shen J, Shafiq MO (2020) Short-term stock market price trend prediction using a comprehensive deep learning system. Journal of Big Data 7(1):66. </w:t>
      </w:r>
      <w:hyperlink r:id="rId35" w:history="1">
        <w:r w:rsidRPr="00CE4EC3">
          <w:rPr>
            <w:rStyle w:val="-"/>
            <w:rFonts w:ascii="Times New Roman" w:hAnsi="Times New Roman"/>
            <w:noProof/>
            <w:sz w:val="20"/>
            <w:szCs w:val="20"/>
          </w:rPr>
          <w:t>https://doi.org/10.1186/s40537-020-00333-6</w:t>
        </w:r>
      </w:hyperlink>
      <w:r w:rsidRPr="00CE4EC3">
        <w:rPr>
          <w:rFonts w:ascii="Times New Roman" w:hAnsi="Times New Roman"/>
          <w:noProof/>
          <w:sz w:val="20"/>
          <w:szCs w:val="20"/>
        </w:rPr>
        <w:t xml:space="preserve"> </w:t>
      </w:r>
    </w:p>
    <w:p w14:paraId="7B3D893D"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Shiller RJ (2015) Irrational exuberance: revised and expanded third edition. Princeton University Press, Princeton, NJ</w:t>
      </w:r>
    </w:p>
    <w:p w14:paraId="02C6F08F"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Sonkiya P, Bajpai V, Bansal A (2021) Stock price prediction using BERT and GAN. arXiv preprint. arXiv:2107.09055</w:t>
      </w:r>
    </w:p>
    <w:p w14:paraId="25075A1E"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Tuan NM, Meesad P, Son NH (2024) On a stock prediction aligned to natural language sentiments. In: Proceedings of the International Conference on Natural Language Processing and Information Retrieval. ACM, Article 111. </w:t>
      </w:r>
      <w:hyperlink r:id="rId36" w:history="1">
        <w:r w:rsidRPr="00CE4EC3">
          <w:rPr>
            <w:rStyle w:val="-"/>
            <w:rFonts w:ascii="Times New Roman" w:hAnsi="Times New Roman"/>
            <w:noProof/>
            <w:sz w:val="20"/>
            <w:szCs w:val="20"/>
          </w:rPr>
          <w:t>https://doi.org/10.1145/3711542.3711597</w:t>
        </w:r>
      </w:hyperlink>
      <w:r w:rsidRPr="00CE4EC3">
        <w:rPr>
          <w:rFonts w:ascii="Times New Roman" w:hAnsi="Times New Roman"/>
          <w:noProof/>
          <w:sz w:val="20"/>
          <w:szCs w:val="20"/>
        </w:rPr>
        <w:t xml:space="preserve"> </w:t>
      </w:r>
    </w:p>
    <w:p w14:paraId="26190546"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Turney PD (2002) Thumbs up or thumbs down? Semantic orientation applied to unsupervised classification of reviews. In: Proceedings of the 40th Annual Meeting of the Association for Computational Linguistics (ACL). Association for Computational Linguistics, Philadelphia, PA, pp 417–424.</w:t>
      </w:r>
    </w:p>
    <w:p w14:paraId="28EC06C7"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Turney PD, Littman ML (2003) Measuring praise and criticism. ACM Transactions on Information Systems 21(4):315–346. </w:t>
      </w:r>
      <w:hyperlink r:id="rId37" w:history="1">
        <w:r w:rsidRPr="00CE4EC3">
          <w:rPr>
            <w:rStyle w:val="-"/>
            <w:rFonts w:ascii="Times New Roman" w:hAnsi="Times New Roman"/>
            <w:noProof/>
            <w:sz w:val="20"/>
            <w:szCs w:val="20"/>
          </w:rPr>
          <w:t>https://doi.org/10.1145/944012.944013</w:t>
        </w:r>
      </w:hyperlink>
      <w:r w:rsidRPr="00CE4EC3">
        <w:rPr>
          <w:rFonts w:ascii="Times New Roman" w:hAnsi="Times New Roman"/>
          <w:noProof/>
          <w:sz w:val="20"/>
          <w:szCs w:val="20"/>
        </w:rPr>
        <w:t xml:space="preserve"> </w:t>
      </w:r>
    </w:p>
    <w:p w14:paraId="01CCCA8D" w14:textId="5E0D51FE"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Vuletić M, Prenzel F, Cucuringu M (2023) Fin-GAN: forecasting and classifying financial time series via generative adversarial networks. SSRN Electronic Journal. </w:t>
      </w:r>
      <w:hyperlink r:id="rId38" w:history="1">
        <w:r w:rsidR="007C3AFE" w:rsidRPr="00CE4EC3">
          <w:rPr>
            <w:rStyle w:val="-"/>
            <w:rFonts w:ascii="Times New Roman" w:hAnsi="Times New Roman"/>
            <w:noProof/>
            <w:sz w:val="20"/>
            <w:szCs w:val="20"/>
          </w:rPr>
          <w:t>https://doi.org/10.2139/ssrn.4328302</w:t>
        </w:r>
      </w:hyperlink>
      <w:r w:rsidR="007C3AFE">
        <w:rPr>
          <w:rFonts w:ascii="Times New Roman" w:hAnsi="Times New Roman"/>
          <w:noProof/>
          <w:sz w:val="20"/>
          <w:szCs w:val="20"/>
        </w:rPr>
        <w:t xml:space="preserve"> </w:t>
      </w:r>
    </w:p>
    <w:p w14:paraId="288336ED"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Whissell CM (1989) The dictionary of affect in language. In: Plutchik R, Kellerman H (eds) The measurement of emotions. Elsevier, pp 113–131. </w:t>
      </w:r>
      <w:hyperlink r:id="rId39" w:history="1">
        <w:r w:rsidRPr="00CE4EC3">
          <w:rPr>
            <w:rStyle w:val="-"/>
            <w:rFonts w:ascii="Times New Roman" w:hAnsi="Times New Roman"/>
            <w:noProof/>
            <w:sz w:val="20"/>
            <w:szCs w:val="20"/>
          </w:rPr>
          <w:t>https://doi.org/10.1016/B978-0-12-558704-4.50011-6</w:t>
        </w:r>
      </w:hyperlink>
      <w:r w:rsidRPr="00CE4EC3">
        <w:rPr>
          <w:rFonts w:ascii="Times New Roman" w:hAnsi="Times New Roman"/>
          <w:noProof/>
          <w:sz w:val="20"/>
          <w:szCs w:val="20"/>
        </w:rPr>
        <w:t xml:space="preserve"> </w:t>
      </w:r>
    </w:p>
    <w:p w14:paraId="4CDEE250"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Woo J et al (2025) Towards time series generation conditioned on unstructured natural language descriptions. arXiv preprint. arXiv:2506.22927</w:t>
      </w:r>
    </w:p>
    <w:p w14:paraId="1D9CFB18"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Xu Z, Bian Y, Zhong J, Wen X, Xu Q (2024) Beyond trend and periodicity: guiding time series forecasting with textual cues. arXiv preprint. arXiv:2405.13522</w:t>
      </w:r>
    </w:p>
    <w:p w14:paraId="2A598E01"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Zhang C, Sjarif NNA, Ibrahim R (2024) Deep learning models for price forecasting of financial time series: a review of recent advancements (2020–2022). WIREs Data Mining and Knowledge Discovery 14(1). </w:t>
      </w:r>
      <w:hyperlink r:id="rId40" w:history="1">
        <w:r w:rsidRPr="00CE4EC3">
          <w:rPr>
            <w:rStyle w:val="-"/>
            <w:rFonts w:ascii="Times New Roman" w:hAnsi="Times New Roman"/>
            <w:noProof/>
            <w:sz w:val="20"/>
            <w:szCs w:val="20"/>
          </w:rPr>
          <w:t>https://doi.org/10.1002/widm.1519</w:t>
        </w:r>
      </w:hyperlink>
      <w:r w:rsidRPr="00CE4EC3">
        <w:rPr>
          <w:rFonts w:ascii="Times New Roman" w:hAnsi="Times New Roman"/>
          <w:noProof/>
          <w:sz w:val="20"/>
          <w:szCs w:val="20"/>
        </w:rPr>
        <w:t xml:space="preserve"> </w:t>
      </w:r>
    </w:p>
    <w:p w14:paraId="48A97E60" w14:textId="77777777" w:rsidR="00CE4EC3" w:rsidRPr="00CE4EC3" w:rsidRDefault="00CE4EC3" w:rsidP="00CE4EC3">
      <w:pPr>
        <w:pStyle w:val="a3"/>
        <w:widowControl w:val="0"/>
        <w:numPr>
          <w:ilvl w:val="0"/>
          <w:numId w:val="8"/>
        </w:numPr>
        <w:autoSpaceDE w:val="0"/>
        <w:autoSpaceDN w:val="0"/>
        <w:adjustRightInd w:val="0"/>
        <w:spacing w:after="0" w:line="240" w:lineRule="auto"/>
        <w:ind w:left="540" w:hanging="540"/>
        <w:rPr>
          <w:rFonts w:ascii="Times New Roman" w:hAnsi="Times New Roman"/>
          <w:noProof/>
          <w:sz w:val="20"/>
          <w:szCs w:val="20"/>
        </w:rPr>
      </w:pPr>
      <w:r w:rsidRPr="00CE4EC3">
        <w:rPr>
          <w:rFonts w:ascii="Times New Roman" w:hAnsi="Times New Roman"/>
          <w:noProof/>
          <w:sz w:val="20"/>
          <w:szCs w:val="20"/>
        </w:rPr>
        <w:t xml:space="preserve">Zhang K, Zhong G, Dong J, Wang S, Wang Y (2019) Stock market prediction based on generative </w:t>
      </w:r>
      <w:r w:rsidRPr="00CE4EC3">
        <w:rPr>
          <w:rFonts w:ascii="Times New Roman" w:hAnsi="Times New Roman"/>
          <w:noProof/>
          <w:sz w:val="20"/>
          <w:szCs w:val="20"/>
        </w:rPr>
        <w:lastRenderedPageBreak/>
        <w:t xml:space="preserve">adversarial network. Procedia Computer Science 147:400–406. </w:t>
      </w:r>
      <w:hyperlink r:id="rId41" w:history="1">
        <w:r w:rsidRPr="00CE4EC3">
          <w:rPr>
            <w:rStyle w:val="-"/>
            <w:rFonts w:ascii="Times New Roman" w:hAnsi="Times New Roman"/>
            <w:noProof/>
            <w:sz w:val="20"/>
            <w:szCs w:val="20"/>
          </w:rPr>
          <w:t>https://doi.org/10.1016/j.procs.2019.01.256</w:t>
        </w:r>
      </w:hyperlink>
      <w:r w:rsidRPr="00CE4EC3">
        <w:rPr>
          <w:rFonts w:ascii="Times New Roman" w:hAnsi="Times New Roman"/>
          <w:noProof/>
          <w:sz w:val="20"/>
          <w:szCs w:val="20"/>
        </w:rPr>
        <w:t xml:space="preserve"> </w:t>
      </w:r>
    </w:p>
    <w:sectPr w:rsidR="00CE4EC3" w:rsidRPr="00CE4EC3" w:rsidSect="004478E1">
      <w:headerReference w:type="default" r:id="rId42"/>
      <w:footerReference w:type="default" r:id="rId43"/>
      <w:headerReference w:type="first" r:id="rId44"/>
      <w:footerReference w:type="first" r:id="rId45"/>
      <w:pgSz w:w="11909" w:h="16834" w:code="9"/>
      <w:pgMar w:top="1440" w:right="1440" w:bottom="1440" w:left="1440" w:header="1138" w:footer="1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2F92B" w14:textId="77777777" w:rsidR="00CE5733" w:rsidRDefault="00CE5733" w:rsidP="00DF171E">
      <w:pPr>
        <w:spacing w:after="0" w:line="240" w:lineRule="auto"/>
      </w:pPr>
      <w:r>
        <w:separator/>
      </w:r>
    </w:p>
  </w:endnote>
  <w:endnote w:type="continuationSeparator" w:id="0">
    <w:p w14:paraId="1E793200" w14:textId="77777777" w:rsidR="00CE5733" w:rsidRDefault="00CE5733" w:rsidP="00DF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481E1" w14:textId="77777777" w:rsidR="00C955C2" w:rsidRPr="00FE3F25" w:rsidRDefault="00C955C2" w:rsidP="00C955C2">
    <w:pPr>
      <w:pStyle w:val="a7"/>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A72FA9">
      <w:rPr>
        <w:rFonts w:ascii="Times New Roman" w:hAnsi="Times New Roman"/>
        <w:b/>
        <w:noProof/>
        <w:color w:val="002060"/>
      </w:rPr>
      <w:t>2</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346B" w14:textId="77777777" w:rsidR="00DF171E" w:rsidRPr="00FE3F25" w:rsidRDefault="00DF171E" w:rsidP="00DF171E">
    <w:pPr>
      <w:pStyle w:val="a7"/>
      <w:pBdr>
        <w:top w:val="single" w:sz="4" w:space="1" w:color="auto"/>
      </w:pBdr>
      <w:rPr>
        <w:b/>
      </w:rPr>
    </w:pPr>
    <w:r w:rsidRPr="00FE3F25">
      <w:rPr>
        <w:rFonts w:ascii="Times New Roman" w:eastAsia="Times New Roman" w:hAnsi="Times New Roman"/>
        <w:b/>
        <w:bCs/>
        <w:i/>
        <w:color w:val="000066"/>
      </w:rPr>
      <w:t xml:space="preserve">International organization of Scientific </w:t>
    </w:r>
    <w:r w:rsidRPr="00FE3F25">
      <w:rPr>
        <w:rFonts w:ascii="Times New Roman" w:eastAsia="Times New Roman" w:hAnsi="Times New Roman"/>
        <w:b/>
        <w:bCs/>
        <w:i/>
        <w:color w:val="002060"/>
      </w:rPr>
      <w:t>Research</w:t>
    </w:r>
    <w:r w:rsidRPr="00FE3F25">
      <w:rPr>
        <w:rFonts w:ascii="Times New Roman" w:eastAsia="Times New Roman" w:hAnsi="Times New Roman"/>
        <w:b/>
        <w:bCs/>
        <w:color w:val="002060"/>
      </w:rPr>
      <w:tab/>
    </w:r>
    <w:r>
      <w:rPr>
        <w:rFonts w:ascii="Times New Roman" w:eastAsia="Times New Roman" w:hAnsi="Times New Roman"/>
        <w:b/>
        <w:bCs/>
        <w:color w:val="002060"/>
      </w:rPr>
      <w:t xml:space="preserve">                                                   </w:t>
    </w:r>
    <w:r w:rsidR="00C955C2">
      <w:rPr>
        <w:rFonts w:ascii="Times New Roman" w:eastAsia="Times New Roman" w:hAnsi="Times New Roman"/>
        <w:b/>
        <w:bCs/>
        <w:color w:val="002060"/>
      </w:rPr>
      <w:t xml:space="preserve">         </w:t>
    </w:r>
    <w:r>
      <w:rPr>
        <w:rFonts w:ascii="Times New Roman" w:eastAsia="Times New Roman" w:hAnsi="Times New Roman"/>
        <w:b/>
        <w:bCs/>
        <w:color w:val="002060"/>
      </w:rPr>
      <w:t xml:space="preserve">     </w:t>
    </w:r>
    <w:r w:rsidR="00D635F4" w:rsidRPr="00FE3F25">
      <w:rPr>
        <w:rFonts w:ascii="Times New Roman" w:hAnsi="Times New Roman"/>
        <w:b/>
        <w:i/>
        <w:color w:val="002060"/>
      </w:rPr>
      <w:fldChar w:fldCharType="begin"/>
    </w:r>
    <w:r w:rsidRPr="00FE3F25">
      <w:rPr>
        <w:rFonts w:ascii="Times New Roman" w:hAnsi="Times New Roman"/>
        <w:b/>
        <w:color w:val="002060"/>
      </w:rPr>
      <w:instrText xml:space="preserve"> PAGE   \* MERGEFORMAT </w:instrText>
    </w:r>
    <w:r w:rsidR="00D635F4" w:rsidRPr="00FE3F25">
      <w:rPr>
        <w:rFonts w:ascii="Times New Roman" w:hAnsi="Times New Roman"/>
        <w:b/>
        <w:i/>
        <w:color w:val="002060"/>
      </w:rPr>
      <w:fldChar w:fldCharType="separate"/>
    </w:r>
    <w:r w:rsidR="00A72FA9">
      <w:rPr>
        <w:rFonts w:ascii="Times New Roman" w:hAnsi="Times New Roman"/>
        <w:b/>
        <w:noProof/>
        <w:color w:val="002060"/>
      </w:rPr>
      <w:t>1</w:t>
    </w:r>
    <w:r w:rsidR="00D635F4" w:rsidRPr="00FE3F25">
      <w:rPr>
        <w:rFonts w:ascii="Times New Roman" w:hAnsi="Times New Roman"/>
        <w:b/>
        <w:i/>
        <w:color w:val="002060"/>
      </w:rPr>
      <w:fldChar w:fldCharType="end"/>
    </w:r>
    <w:r w:rsidRPr="00FE3F25">
      <w:rPr>
        <w:rFonts w:ascii="Times New Roman" w:hAnsi="Times New Roman"/>
        <w:b/>
        <w:color w:val="002060"/>
      </w:rPr>
      <w:t xml:space="preserve"> | </w:t>
    </w:r>
    <w:r w:rsidRPr="00FE3F25">
      <w:rPr>
        <w:rFonts w:ascii="Times New Roman" w:hAnsi="Times New Roman"/>
        <w:b/>
        <w:color w:val="002060"/>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1CB03" w14:textId="77777777" w:rsidR="00CE5733" w:rsidRDefault="00CE5733" w:rsidP="00DF171E">
      <w:pPr>
        <w:spacing w:after="0" w:line="240" w:lineRule="auto"/>
      </w:pPr>
      <w:r>
        <w:separator/>
      </w:r>
    </w:p>
  </w:footnote>
  <w:footnote w:type="continuationSeparator" w:id="0">
    <w:p w14:paraId="6E916FC0" w14:textId="77777777" w:rsidR="00CE5733" w:rsidRDefault="00CE5733" w:rsidP="00DF171E">
      <w:pPr>
        <w:spacing w:after="0" w:line="240" w:lineRule="auto"/>
      </w:pPr>
      <w:r>
        <w:continuationSeparator/>
      </w:r>
    </w:p>
  </w:footnote>
  <w:footnote w:id="1">
    <w:p w14:paraId="099A6B1C" w14:textId="77777777" w:rsidR="00B07F0E" w:rsidRDefault="00B07F0E" w:rsidP="00B07F0E">
      <w:pPr>
        <w:pStyle w:val="aa"/>
      </w:pPr>
      <w:r>
        <w:rPr>
          <w:rStyle w:val="ab"/>
        </w:rPr>
        <w:footnoteRef/>
      </w:r>
      <w:r>
        <w:t xml:space="preserve"> </w:t>
      </w:r>
      <w:hyperlink r:id="rId1" w:history="1">
        <w:r w:rsidRPr="00E82750">
          <w:rPr>
            <w:rStyle w:val="-"/>
            <w:rFonts w:cs="Times New Roman"/>
            <w:sz w:val="18"/>
            <w:szCs w:val="18"/>
          </w:rPr>
          <w:t>https://finance.yahoo.com/</w:t>
        </w:r>
      </w:hyperlink>
      <w:r>
        <w:rPr>
          <w:rFonts w:cs="Times New Roman"/>
          <w:sz w:val="18"/>
          <w:szCs w:val="18"/>
        </w:rPr>
        <w:t xml:space="preserve"> </w:t>
      </w:r>
    </w:p>
  </w:footnote>
  <w:footnote w:id="2">
    <w:p w14:paraId="040BC2EE" w14:textId="77777777" w:rsidR="00B07F0E" w:rsidRDefault="00B07F0E" w:rsidP="00B07F0E">
      <w:pPr>
        <w:pStyle w:val="aa"/>
      </w:pPr>
      <w:r>
        <w:rPr>
          <w:rStyle w:val="ab"/>
        </w:rPr>
        <w:footnoteRef/>
      </w:r>
      <w:r>
        <w:t xml:space="preserve"> </w:t>
      </w:r>
      <w:hyperlink r:id="rId2" w:history="1">
        <w:r w:rsidRPr="00E82750">
          <w:rPr>
            <w:rStyle w:val="-"/>
            <w:rFonts w:cs="Times New Roman"/>
            <w:sz w:val="18"/>
            <w:szCs w:val="18"/>
          </w:rPr>
          <w:t>https://x.com/</w:t>
        </w:r>
      </w:hyperlink>
      <w:r>
        <w:rPr>
          <w:rFonts w:cs="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E289" w14:textId="18520CB2" w:rsidR="00DF171E" w:rsidRPr="00B245F9" w:rsidRDefault="00B245F9" w:rsidP="00B245F9">
    <w:pPr>
      <w:pStyle w:val="a6"/>
      <w:jc w:val="right"/>
      <w:rPr>
        <w:sz w:val="20"/>
        <w:szCs w:val="20"/>
      </w:rPr>
    </w:pPr>
    <w:r w:rsidRPr="00B245F9">
      <w:rPr>
        <w:rFonts w:ascii="Times New Roman" w:hAnsi="Times New Roman"/>
        <w:i/>
        <w:sz w:val="20"/>
        <w:szCs w:val="18"/>
        <w:lang w:val="en-GB"/>
      </w:rPr>
      <w:t>A Hybrid GAN–NLP Framework for Financial Time-Series Prediction Using Market and Sentiment Data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3078" w14:textId="1F54126E" w:rsidR="00DF171E" w:rsidRPr="00FB359C" w:rsidRDefault="00DF171E" w:rsidP="004E2B38">
    <w:pPr>
      <w:pStyle w:val="a6"/>
      <w:pBdr>
        <w:right w:val="none" w:sz="0" w:space="31" w:color="auto"/>
      </w:pBdr>
      <w:tabs>
        <w:tab w:val="clear" w:pos="9360"/>
        <w:tab w:val="right" w:pos="9029"/>
      </w:tabs>
      <w:rPr>
        <w:rFonts w:ascii="Times New Roman" w:hAnsi="Times New Roman"/>
        <w:b/>
      </w:rPr>
    </w:pPr>
    <w:r w:rsidRPr="00FB359C">
      <w:rPr>
        <w:rFonts w:ascii="Times New Roman" w:hAnsi="Times New Roman"/>
        <w:b/>
      </w:rPr>
      <w:t>IOSR Journal of Engineering (IOSRJEN)</w:t>
    </w:r>
    <w:r w:rsidR="00312ABA">
      <w:rPr>
        <w:rFonts w:ascii="Times New Roman" w:hAnsi="Times New Roman"/>
        <w:b/>
      </w:rPr>
      <w:t xml:space="preserve"> </w:t>
    </w:r>
    <w:r w:rsidR="00312ABA">
      <w:rPr>
        <w:rFonts w:ascii="Times New Roman" w:hAnsi="Times New Roman"/>
        <w:b/>
      </w:rPr>
      <w:tab/>
    </w:r>
    <w:r w:rsidR="004E2B38">
      <w:rPr>
        <w:rFonts w:ascii="Times New Roman" w:hAnsi="Times New Roman"/>
        <w:b/>
      </w:rPr>
      <w:t xml:space="preserve">                                       </w:t>
    </w:r>
    <w:r w:rsidRPr="00FB359C">
      <w:rPr>
        <w:rFonts w:ascii="Times New Roman" w:hAnsi="Times New Roman"/>
        <w:b/>
      </w:rPr>
      <w:t xml:space="preserve">   </w:t>
    </w:r>
    <w:r w:rsidR="005C779A">
      <w:rPr>
        <w:rFonts w:ascii="Times New Roman" w:hAnsi="Times New Roman"/>
      </w:rPr>
      <w:t xml:space="preserve">   </w:t>
    </w:r>
    <w:r w:rsidR="00506F74">
      <w:rPr>
        <w:rFonts w:ascii="Times New Roman" w:hAnsi="Times New Roman"/>
      </w:rPr>
      <w:t xml:space="preserve">            </w:t>
    </w:r>
    <w:r w:rsidRPr="00FB359C">
      <w:rPr>
        <w:rFonts w:ascii="Times New Roman" w:hAnsi="Times New Roman"/>
      </w:rPr>
      <w:t xml:space="preserve">  </w:t>
    </w:r>
    <w:r w:rsidRPr="00FB359C">
      <w:rPr>
        <w:rFonts w:ascii="Times New Roman" w:hAnsi="Times New Roman"/>
        <w:b/>
      </w:rPr>
      <w:t>www.iosrjen.org</w:t>
    </w:r>
  </w:p>
  <w:p w14:paraId="2BFD2FEE" w14:textId="77777777" w:rsidR="00DF171E" w:rsidRPr="00FB359C" w:rsidRDefault="00DF171E" w:rsidP="00DF171E">
    <w:pPr>
      <w:pStyle w:val="a6"/>
      <w:pBdr>
        <w:right w:val="none" w:sz="0" w:space="31" w:color="auto"/>
      </w:pBdr>
      <w:rPr>
        <w:rFonts w:ascii="Times New Roman" w:hAnsi="Times New Roman"/>
      </w:rPr>
    </w:pPr>
    <w:r w:rsidRPr="00FB359C">
      <w:rPr>
        <w:rFonts w:ascii="Times New Roman" w:hAnsi="Times New Roman"/>
      </w:rPr>
      <w:t>ISSN (e): 2250-3021, ISSN (p): 2278-8719</w:t>
    </w:r>
  </w:p>
  <w:p w14:paraId="2B248A1D" w14:textId="1A4281C9" w:rsidR="00DF171E" w:rsidRPr="00FB359C" w:rsidRDefault="00DF171E" w:rsidP="00DF171E">
    <w:pPr>
      <w:pStyle w:val="a6"/>
      <w:pBdr>
        <w:bottom w:val="single" w:sz="4" w:space="1" w:color="auto"/>
      </w:pBdr>
      <w:rPr>
        <w:rFonts w:ascii="Times New Roman" w:hAnsi="Times New Roman"/>
      </w:rPr>
    </w:pPr>
    <w:r w:rsidRPr="00FB359C">
      <w:rPr>
        <w:rFonts w:ascii="Times New Roman" w:hAnsi="Times New Roman"/>
      </w:rPr>
      <w:t xml:space="preserve">Vol. </w:t>
    </w:r>
    <w:r w:rsidR="00934420">
      <w:rPr>
        <w:rFonts w:ascii="Times New Roman" w:hAnsi="Times New Roman"/>
      </w:rPr>
      <w:t>XX</w:t>
    </w:r>
    <w:r w:rsidR="001A300A">
      <w:rPr>
        <w:rFonts w:ascii="Times New Roman" w:hAnsi="Times New Roman"/>
      </w:rPr>
      <w:t xml:space="preserve">, Issue </w:t>
    </w:r>
    <w:r w:rsidR="00934420">
      <w:rPr>
        <w:rFonts w:ascii="Times New Roman" w:hAnsi="Times New Roman"/>
      </w:rPr>
      <w:t>X</w:t>
    </w:r>
    <w:r w:rsidRPr="00FB359C">
      <w:rPr>
        <w:rFonts w:ascii="Times New Roman" w:hAnsi="Times New Roman"/>
      </w:rPr>
      <w:t xml:space="preserve"> (</w:t>
    </w:r>
    <w:r w:rsidR="00934420">
      <w:rPr>
        <w:rFonts w:ascii="Times New Roman" w:hAnsi="Times New Roman"/>
      </w:rPr>
      <w:t>Month</w:t>
    </w:r>
    <w:r w:rsidRPr="00FB359C">
      <w:rPr>
        <w:rFonts w:ascii="Times New Roman" w:hAnsi="Times New Roman"/>
      </w:rPr>
      <w:t>. 20</w:t>
    </w:r>
    <w:r w:rsidR="00934420">
      <w:rPr>
        <w:rFonts w:ascii="Times New Roman" w:hAnsi="Times New Roman"/>
      </w:rPr>
      <w:t>26</w:t>
    </w:r>
    <w:r w:rsidRPr="00FB359C">
      <w:rPr>
        <w:rFonts w:ascii="Times New Roman" w:hAnsi="Times New Roman"/>
      </w:rPr>
      <w:t xml:space="preserve">), ||V1|| PP </w:t>
    </w:r>
    <w:r w:rsidR="001A300A">
      <w:rPr>
        <w:rFonts w:ascii="Times New Roman" w:hAnsi="Times New Roman"/>
      </w:rPr>
      <w:t>00-00</w:t>
    </w:r>
  </w:p>
  <w:p w14:paraId="33D34D68" w14:textId="77777777" w:rsidR="00DF171E" w:rsidRPr="00DF171E" w:rsidRDefault="00DF171E" w:rsidP="00DF171E">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20621"/>
    <w:multiLevelType w:val="hybridMultilevel"/>
    <w:tmpl w:val="E5F22E30"/>
    <w:lvl w:ilvl="0" w:tplc="229E7748">
      <w:start w:val="1"/>
      <w:numFmt w:val="upperRoman"/>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C3D01"/>
    <w:multiLevelType w:val="hybridMultilevel"/>
    <w:tmpl w:val="EAD46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6E668A"/>
    <w:multiLevelType w:val="hybridMultilevel"/>
    <w:tmpl w:val="9F3061CE"/>
    <w:lvl w:ilvl="0" w:tplc="90A8F09E">
      <w:start w:val="1"/>
      <w:numFmt w:val="decimal"/>
      <w:lvlText w:val="%1."/>
      <w:lvlJc w:val="left"/>
      <w:pPr>
        <w:ind w:left="720" w:hanging="360"/>
      </w:pPr>
      <w:rPr>
        <w:b/>
        <w:bCs/>
      </w:rPr>
    </w:lvl>
    <w:lvl w:ilvl="1" w:tplc="B9905CB0">
      <w:start w:val="1"/>
      <w:numFmt w:val="lowerLetter"/>
      <w:lvlText w:val="%2."/>
      <w:lvlJc w:val="left"/>
      <w:pPr>
        <w:ind w:left="1440" w:hanging="360"/>
      </w:pPr>
      <w:rPr>
        <w:b/>
        <w:bCs/>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8B03B7E"/>
    <w:multiLevelType w:val="hybridMultilevel"/>
    <w:tmpl w:val="35A8E234"/>
    <w:lvl w:ilvl="0" w:tplc="1472B5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165437D"/>
    <w:multiLevelType w:val="hybridMultilevel"/>
    <w:tmpl w:val="98E8786E"/>
    <w:lvl w:ilvl="0" w:tplc="A6EE7BD2">
      <w:start w:val="1"/>
      <w:numFmt w:val="upperRoman"/>
      <w:lvlText w:val="%1V."/>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2D5D69"/>
    <w:multiLevelType w:val="hybridMultilevel"/>
    <w:tmpl w:val="B8AAD13A"/>
    <w:lvl w:ilvl="0" w:tplc="2AE4D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9D6145"/>
    <w:multiLevelType w:val="hybridMultilevel"/>
    <w:tmpl w:val="2A3CBE86"/>
    <w:lvl w:ilvl="0" w:tplc="D52CA49E">
      <w:start w:val="1"/>
      <w:numFmt w:val="upperRoman"/>
      <w:lvlText w:val="%1."/>
      <w:lvlJc w:val="right"/>
      <w:pPr>
        <w:ind w:left="720" w:hanging="360"/>
      </w:pPr>
      <w:rPr>
        <w:b/>
        <w:bCs/>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1E1F49"/>
    <w:multiLevelType w:val="hybridMultilevel"/>
    <w:tmpl w:val="CD500F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A40364E"/>
    <w:multiLevelType w:val="hybridMultilevel"/>
    <w:tmpl w:val="A8902F48"/>
    <w:lvl w:ilvl="0" w:tplc="2252060E">
      <w:start w:val="1"/>
      <w:numFmt w:val="upperRoman"/>
      <w:lvlText w:val="%1."/>
      <w:lvlJc w:val="left"/>
      <w:pPr>
        <w:ind w:left="1077" w:hanging="72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15:restartNumberingAfterBreak="0">
    <w:nsid w:val="7D2B3032"/>
    <w:multiLevelType w:val="hybridMultilevel"/>
    <w:tmpl w:val="1B20F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9932197">
    <w:abstractNumId w:val="8"/>
  </w:num>
  <w:num w:numId="2" w16cid:durableId="416442038">
    <w:abstractNumId w:val="7"/>
  </w:num>
  <w:num w:numId="3" w16cid:durableId="1057240269">
    <w:abstractNumId w:val="1"/>
  </w:num>
  <w:num w:numId="4" w16cid:durableId="79303895">
    <w:abstractNumId w:val="6"/>
  </w:num>
  <w:num w:numId="5" w16cid:durableId="1871799041">
    <w:abstractNumId w:val="9"/>
  </w:num>
  <w:num w:numId="6" w16cid:durableId="172649139">
    <w:abstractNumId w:val="0"/>
  </w:num>
  <w:num w:numId="7" w16cid:durableId="710307526">
    <w:abstractNumId w:val="4"/>
  </w:num>
  <w:num w:numId="8" w16cid:durableId="1773237455">
    <w:abstractNumId w:val="5"/>
  </w:num>
  <w:num w:numId="9" w16cid:durableId="2078503878">
    <w:abstractNumId w:val="3"/>
  </w:num>
  <w:num w:numId="10" w16cid:durableId="1568296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489A"/>
    <w:rsid w:val="000414EA"/>
    <w:rsid w:val="00041A33"/>
    <w:rsid w:val="00060954"/>
    <w:rsid w:val="00060CED"/>
    <w:rsid w:val="00065ADF"/>
    <w:rsid w:val="00080334"/>
    <w:rsid w:val="000D1650"/>
    <w:rsid w:val="000E3BDC"/>
    <w:rsid w:val="000F40AE"/>
    <w:rsid w:val="00100710"/>
    <w:rsid w:val="00103C97"/>
    <w:rsid w:val="00110F12"/>
    <w:rsid w:val="00122A01"/>
    <w:rsid w:val="00123968"/>
    <w:rsid w:val="0012745E"/>
    <w:rsid w:val="00142BB7"/>
    <w:rsid w:val="00145BAF"/>
    <w:rsid w:val="00151B44"/>
    <w:rsid w:val="00173092"/>
    <w:rsid w:val="00180FF5"/>
    <w:rsid w:val="00190218"/>
    <w:rsid w:val="0019523B"/>
    <w:rsid w:val="001A1D6D"/>
    <w:rsid w:val="001A300A"/>
    <w:rsid w:val="001A4B60"/>
    <w:rsid w:val="001C38F0"/>
    <w:rsid w:val="001C5C87"/>
    <w:rsid w:val="001C793E"/>
    <w:rsid w:val="001E1A09"/>
    <w:rsid w:val="001E3882"/>
    <w:rsid w:val="001F4E08"/>
    <w:rsid w:val="00233A2D"/>
    <w:rsid w:val="0023796F"/>
    <w:rsid w:val="002427DD"/>
    <w:rsid w:val="002442AF"/>
    <w:rsid w:val="0026489D"/>
    <w:rsid w:val="00291C72"/>
    <w:rsid w:val="002A0369"/>
    <w:rsid w:val="002C1156"/>
    <w:rsid w:val="002C3F62"/>
    <w:rsid w:val="002E30ED"/>
    <w:rsid w:val="002F0D3F"/>
    <w:rsid w:val="00300E8A"/>
    <w:rsid w:val="00312ABA"/>
    <w:rsid w:val="0034019A"/>
    <w:rsid w:val="00357BA0"/>
    <w:rsid w:val="00362242"/>
    <w:rsid w:val="00366602"/>
    <w:rsid w:val="00376A73"/>
    <w:rsid w:val="003877BC"/>
    <w:rsid w:val="003A7790"/>
    <w:rsid w:val="003C703E"/>
    <w:rsid w:val="003D4755"/>
    <w:rsid w:val="003D5021"/>
    <w:rsid w:val="003E2510"/>
    <w:rsid w:val="0042047D"/>
    <w:rsid w:val="0043115F"/>
    <w:rsid w:val="0043368B"/>
    <w:rsid w:val="004432D2"/>
    <w:rsid w:val="004478E1"/>
    <w:rsid w:val="0045551B"/>
    <w:rsid w:val="00463617"/>
    <w:rsid w:val="00496A24"/>
    <w:rsid w:val="004A3259"/>
    <w:rsid w:val="004A7FA1"/>
    <w:rsid w:val="004B5390"/>
    <w:rsid w:val="004E2B38"/>
    <w:rsid w:val="004E5134"/>
    <w:rsid w:val="00506F74"/>
    <w:rsid w:val="005072C3"/>
    <w:rsid w:val="005079B2"/>
    <w:rsid w:val="0053523F"/>
    <w:rsid w:val="00537DA6"/>
    <w:rsid w:val="00540B79"/>
    <w:rsid w:val="00542E90"/>
    <w:rsid w:val="005449A5"/>
    <w:rsid w:val="00544CFE"/>
    <w:rsid w:val="00552DDF"/>
    <w:rsid w:val="00555CA4"/>
    <w:rsid w:val="00573F05"/>
    <w:rsid w:val="005972BE"/>
    <w:rsid w:val="00597334"/>
    <w:rsid w:val="005A0BC5"/>
    <w:rsid w:val="005B0738"/>
    <w:rsid w:val="005B36CE"/>
    <w:rsid w:val="005C779A"/>
    <w:rsid w:val="005D12AA"/>
    <w:rsid w:val="005E4C79"/>
    <w:rsid w:val="005E6A54"/>
    <w:rsid w:val="00601A36"/>
    <w:rsid w:val="006031D2"/>
    <w:rsid w:val="00610C57"/>
    <w:rsid w:val="0062718E"/>
    <w:rsid w:val="00645395"/>
    <w:rsid w:val="00661B4F"/>
    <w:rsid w:val="00664817"/>
    <w:rsid w:val="00677EAD"/>
    <w:rsid w:val="00690A07"/>
    <w:rsid w:val="006A419C"/>
    <w:rsid w:val="006C1D72"/>
    <w:rsid w:val="006C32CE"/>
    <w:rsid w:val="006D2DFB"/>
    <w:rsid w:val="006D2FA2"/>
    <w:rsid w:val="006E66A8"/>
    <w:rsid w:val="00700625"/>
    <w:rsid w:val="007322C5"/>
    <w:rsid w:val="00734996"/>
    <w:rsid w:val="00742140"/>
    <w:rsid w:val="00742BCF"/>
    <w:rsid w:val="00745B0E"/>
    <w:rsid w:val="00750BA8"/>
    <w:rsid w:val="007550B4"/>
    <w:rsid w:val="0076788B"/>
    <w:rsid w:val="007826F6"/>
    <w:rsid w:val="00783AEC"/>
    <w:rsid w:val="00791F7E"/>
    <w:rsid w:val="007A33D0"/>
    <w:rsid w:val="007A7123"/>
    <w:rsid w:val="007C3AFE"/>
    <w:rsid w:val="007F105F"/>
    <w:rsid w:val="00804DE5"/>
    <w:rsid w:val="00806547"/>
    <w:rsid w:val="00806559"/>
    <w:rsid w:val="0085694A"/>
    <w:rsid w:val="00881EBC"/>
    <w:rsid w:val="00895B0E"/>
    <w:rsid w:val="008B1FC9"/>
    <w:rsid w:val="008C1DAB"/>
    <w:rsid w:val="008E0167"/>
    <w:rsid w:val="0091000F"/>
    <w:rsid w:val="009148A5"/>
    <w:rsid w:val="00916207"/>
    <w:rsid w:val="00930596"/>
    <w:rsid w:val="00934420"/>
    <w:rsid w:val="00937A96"/>
    <w:rsid w:val="009429FE"/>
    <w:rsid w:val="00942BDE"/>
    <w:rsid w:val="00944DD0"/>
    <w:rsid w:val="0095112A"/>
    <w:rsid w:val="009627DA"/>
    <w:rsid w:val="009631FA"/>
    <w:rsid w:val="00994441"/>
    <w:rsid w:val="009B1303"/>
    <w:rsid w:val="009D443C"/>
    <w:rsid w:val="009E191C"/>
    <w:rsid w:val="009E489A"/>
    <w:rsid w:val="009E7DDB"/>
    <w:rsid w:val="009F185B"/>
    <w:rsid w:val="00A16136"/>
    <w:rsid w:val="00A25070"/>
    <w:rsid w:val="00A36CCC"/>
    <w:rsid w:val="00A46E7D"/>
    <w:rsid w:val="00A52B0F"/>
    <w:rsid w:val="00A56C93"/>
    <w:rsid w:val="00A60A26"/>
    <w:rsid w:val="00A64C98"/>
    <w:rsid w:val="00A679A8"/>
    <w:rsid w:val="00A72FA9"/>
    <w:rsid w:val="00A74B7E"/>
    <w:rsid w:val="00AA0154"/>
    <w:rsid w:val="00AB0333"/>
    <w:rsid w:val="00AB6ED5"/>
    <w:rsid w:val="00AD3C75"/>
    <w:rsid w:val="00B07F0E"/>
    <w:rsid w:val="00B2004C"/>
    <w:rsid w:val="00B245F9"/>
    <w:rsid w:val="00B43C56"/>
    <w:rsid w:val="00B53CDA"/>
    <w:rsid w:val="00B870D7"/>
    <w:rsid w:val="00B92F89"/>
    <w:rsid w:val="00BB2D9D"/>
    <w:rsid w:val="00BB6F0E"/>
    <w:rsid w:val="00BC03F2"/>
    <w:rsid w:val="00BE2367"/>
    <w:rsid w:val="00BF235E"/>
    <w:rsid w:val="00BF38F3"/>
    <w:rsid w:val="00C55E39"/>
    <w:rsid w:val="00C62DB7"/>
    <w:rsid w:val="00C670D1"/>
    <w:rsid w:val="00C87960"/>
    <w:rsid w:val="00C902C6"/>
    <w:rsid w:val="00C955C2"/>
    <w:rsid w:val="00C96E41"/>
    <w:rsid w:val="00CA7E19"/>
    <w:rsid w:val="00CB150E"/>
    <w:rsid w:val="00CE4EC3"/>
    <w:rsid w:val="00CE5733"/>
    <w:rsid w:val="00D272CF"/>
    <w:rsid w:val="00D358EC"/>
    <w:rsid w:val="00D427EE"/>
    <w:rsid w:val="00D53422"/>
    <w:rsid w:val="00D635F4"/>
    <w:rsid w:val="00D76D0E"/>
    <w:rsid w:val="00D9045F"/>
    <w:rsid w:val="00DA26AD"/>
    <w:rsid w:val="00DB7398"/>
    <w:rsid w:val="00DC2757"/>
    <w:rsid w:val="00DD0B57"/>
    <w:rsid w:val="00DF171E"/>
    <w:rsid w:val="00DF347F"/>
    <w:rsid w:val="00DF78A0"/>
    <w:rsid w:val="00E05310"/>
    <w:rsid w:val="00E1207F"/>
    <w:rsid w:val="00E2107E"/>
    <w:rsid w:val="00E34664"/>
    <w:rsid w:val="00E455D9"/>
    <w:rsid w:val="00E52164"/>
    <w:rsid w:val="00E83CB8"/>
    <w:rsid w:val="00EB6D52"/>
    <w:rsid w:val="00ED734D"/>
    <w:rsid w:val="00EE4763"/>
    <w:rsid w:val="00F1435D"/>
    <w:rsid w:val="00F3731D"/>
    <w:rsid w:val="00F6507E"/>
    <w:rsid w:val="00F6512F"/>
    <w:rsid w:val="00F7163A"/>
    <w:rsid w:val="00F72B2F"/>
    <w:rsid w:val="00F86A44"/>
    <w:rsid w:val="00FA77BA"/>
    <w:rsid w:val="00FC6713"/>
    <w:rsid w:val="00FF08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14:docId w14:val="0F5A7742"/>
  <w15:docId w15:val="{53ED0120-B0A1-4F1E-97AB-0CB7A29C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796F"/>
    <w:pPr>
      <w:spacing w:after="160" w:line="259" w:lineRule="auto"/>
    </w:pPr>
    <w:rPr>
      <w:rFonts w:ascii="Calibri" w:eastAsia="Calibri" w:hAnsi="Calibri" w:cs="Times New Roman"/>
    </w:rPr>
  </w:style>
  <w:style w:type="paragraph" w:styleId="1">
    <w:name w:val="heading 1"/>
    <w:basedOn w:val="a"/>
    <w:next w:val="a"/>
    <w:link w:val="1Char"/>
    <w:uiPriority w:val="9"/>
    <w:qFormat/>
    <w:rsid w:val="0091000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89A"/>
    <w:pPr>
      <w:ind w:left="720"/>
      <w:contextualSpacing/>
    </w:pPr>
  </w:style>
  <w:style w:type="paragraph" w:styleId="a4">
    <w:name w:val="Balloon Text"/>
    <w:basedOn w:val="a"/>
    <w:link w:val="Char"/>
    <w:uiPriority w:val="99"/>
    <w:semiHidden/>
    <w:unhideWhenUsed/>
    <w:rsid w:val="009F185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F185B"/>
    <w:rPr>
      <w:rFonts w:ascii="Tahoma" w:eastAsia="Calibri" w:hAnsi="Tahoma" w:cs="Tahoma"/>
      <w:sz w:val="16"/>
      <w:szCs w:val="16"/>
    </w:rPr>
  </w:style>
  <w:style w:type="paragraph" w:styleId="a5">
    <w:name w:val="caption"/>
    <w:basedOn w:val="a"/>
    <w:next w:val="a"/>
    <w:uiPriority w:val="35"/>
    <w:unhideWhenUsed/>
    <w:qFormat/>
    <w:rsid w:val="009F185B"/>
    <w:pPr>
      <w:spacing w:after="200" w:line="240" w:lineRule="auto"/>
    </w:pPr>
    <w:rPr>
      <w:b/>
      <w:bCs/>
      <w:color w:val="4F81BD" w:themeColor="accent1"/>
      <w:sz w:val="18"/>
      <w:szCs w:val="18"/>
    </w:rPr>
  </w:style>
  <w:style w:type="character" w:customStyle="1" w:styleId="1Char">
    <w:name w:val="Επικεφαλίδα 1 Char"/>
    <w:basedOn w:val="a0"/>
    <w:link w:val="1"/>
    <w:uiPriority w:val="9"/>
    <w:rsid w:val="0091000F"/>
    <w:rPr>
      <w:rFonts w:asciiTheme="majorHAnsi" w:eastAsiaTheme="majorEastAsia" w:hAnsiTheme="majorHAnsi" w:cstheme="majorBidi"/>
      <w:color w:val="365F91" w:themeColor="accent1" w:themeShade="BF"/>
      <w:sz w:val="32"/>
      <w:szCs w:val="32"/>
    </w:rPr>
  </w:style>
  <w:style w:type="paragraph" w:styleId="a6">
    <w:name w:val="header"/>
    <w:aliases w:val="Header1,even, Char,Char"/>
    <w:basedOn w:val="a"/>
    <w:link w:val="Char0"/>
    <w:uiPriority w:val="99"/>
    <w:unhideWhenUsed/>
    <w:qFormat/>
    <w:rsid w:val="00DF171E"/>
    <w:pPr>
      <w:tabs>
        <w:tab w:val="center" w:pos="4680"/>
        <w:tab w:val="right" w:pos="9360"/>
      </w:tabs>
      <w:spacing w:after="0" w:line="240" w:lineRule="auto"/>
    </w:pPr>
  </w:style>
  <w:style w:type="character" w:customStyle="1" w:styleId="Char0">
    <w:name w:val="Κεφαλίδα Char"/>
    <w:aliases w:val="Header1 Char,even Char, Char Char,Char Char"/>
    <w:basedOn w:val="a0"/>
    <w:link w:val="a6"/>
    <w:uiPriority w:val="99"/>
    <w:qFormat/>
    <w:rsid w:val="00DF171E"/>
    <w:rPr>
      <w:rFonts w:ascii="Calibri" w:eastAsia="Calibri" w:hAnsi="Calibri" w:cs="Times New Roman"/>
    </w:rPr>
  </w:style>
  <w:style w:type="paragraph" w:styleId="a7">
    <w:name w:val="footer"/>
    <w:basedOn w:val="a"/>
    <w:link w:val="Char1"/>
    <w:unhideWhenUsed/>
    <w:qFormat/>
    <w:rsid w:val="00DF171E"/>
    <w:pPr>
      <w:tabs>
        <w:tab w:val="center" w:pos="4680"/>
        <w:tab w:val="right" w:pos="9360"/>
      </w:tabs>
      <w:spacing w:after="0" w:line="240" w:lineRule="auto"/>
    </w:pPr>
  </w:style>
  <w:style w:type="character" w:customStyle="1" w:styleId="Char1">
    <w:name w:val="Υποσέλιδο Char"/>
    <w:basedOn w:val="a0"/>
    <w:link w:val="a7"/>
    <w:qFormat/>
    <w:rsid w:val="00DF171E"/>
    <w:rPr>
      <w:rFonts w:ascii="Calibri" w:eastAsia="Calibri" w:hAnsi="Calibri" w:cs="Times New Roman"/>
    </w:rPr>
  </w:style>
  <w:style w:type="paragraph" w:styleId="a8">
    <w:name w:val="Title"/>
    <w:basedOn w:val="a"/>
    <w:next w:val="a"/>
    <w:link w:val="Char2"/>
    <w:qFormat/>
    <w:rsid w:val="00D358EC"/>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kern w:val="28"/>
      <w:sz w:val="48"/>
      <w:szCs w:val="48"/>
    </w:rPr>
  </w:style>
  <w:style w:type="character" w:customStyle="1" w:styleId="Char2">
    <w:name w:val="Τίτλος Char"/>
    <w:basedOn w:val="a0"/>
    <w:link w:val="a8"/>
    <w:rsid w:val="00D358EC"/>
    <w:rPr>
      <w:rFonts w:ascii="Times New Roman" w:eastAsia="Times New Roman" w:hAnsi="Times New Roman" w:cs="Times New Roman"/>
      <w:kern w:val="28"/>
      <w:sz w:val="48"/>
      <w:szCs w:val="48"/>
    </w:rPr>
  </w:style>
  <w:style w:type="character" w:styleId="-">
    <w:name w:val="Hyperlink"/>
    <w:basedOn w:val="a0"/>
    <w:uiPriority w:val="99"/>
    <w:unhideWhenUsed/>
    <w:rsid w:val="00CE4EC3"/>
    <w:rPr>
      <w:color w:val="0000FF" w:themeColor="hyperlink"/>
      <w:u w:val="single"/>
    </w:rPr>
  </w:style>
  <w:style w:type="character" w:styleId="a9">
    <w:name w:val="Unresolved Mention"/>
    <w:basedOn w:val="a0"/>
    <w:uiPriority w:val="99"/>
    <w:semiHidden/>
    <w:unhideWhenUsed/>
    <w:rsid w:val="00CE4EC3"/>
    <w:rPr>
      <w:color w:val="605E5C"/>
      <w:shd w:val="clear" w:color="auto" w:fill="E1DFDD"/>
    </w:rPr>
  </w:style>
  <w:style w:type="paragraph" w:styleId="aa">
    <w:name w:val="footnote text"/>
    <w:basedOn w:val="a"/>
    <w:link w:val="Char3"/>
    <w:uiPriority w:val="99"/>
    <w:semiHidden/>
    <w:unhideWhenUsed/>
    <w:rsid w:val="00B07F0E"/>
    <w:pPr>
      <w:spacing w:after="0" w:line="240" w:lineRule="auto"/>
    </w:pPr>
    <w:rPr>
      <w:rFonts w:ascii="Times New Roman" w:eastAsiaTheme="minorEastAsia" w:hAnsi="Times New Roman" w:cstheme="minorBidi"/>
      <w:sz w:val="20"/>
      <w:szCs w:val="20"/>
    </w:rPr>
  </w:style>
  <w:style w:type="character" w:customStyle="1" w:styleId="Char3">
    <w:name w:val="Κείμενο υποσημείωσης Char"/>
    <w:basedOn w:val="a0"/>
    <w:link w:val="aa"/>
    <w:uiPriority w:val="99"/>
    <w:semiHidden/>
    <w:rsid w:val="00B07F0E"/>
    <w:rPr>
      <w:rFonts w:ascii="Times New Roman" w:eastAsiaTheme="minorEastAsia" w:hAnsi="Times New Roman"/>
      <w:sz w:val="20"/>
      <w:szCs w:val="20"/>
    </w:rPr>
  </w:style>
  <w:style w:type="character" w:styleId="ab">
    <w:name w:val="footnote reference"/>
    <w:basedOn w:val="a0"/>
    <w:uiPriority w:val="99"/>
    <w:semiHidden/>
    <w:unhideWhenUsed/>
    <w:rsid w:val="00B07F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16/j.jocs.2010.12.007" TargetMode="External"/><Relationship Id="rId26" Type="http://schemas.openxmlformats.org/officeDocument/2006/relationships/hyperlink" Target="https://doi.org/10.1016/j.procs.2023.10.601" TargetMode="External"/><Relationship Id="rId39" Type="http://schemas.openxmlformats.org/officeDocument/2006/relationships/hyperlink" Target="https://doi.org/10.1016/B978-0-12-558704-4.50011-6" TargetMode="External"/><Relationship Id="rId21" Type="http://schemas.openxmlformats.org/officeDocument/2006/relationships/hyperlink" Target="https://doi.org/10.1016/j.engappai.2019.07.002" TargetMode="External"/><Relationship Id="rId34" Type="http://schemas.openxmlformats.org/officeDocument/2006/relationships/hyperlink" Target="https://doi.org/10.3390/electronics10212717"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45/3533382" TargetMode="External"/><Relationship Id="rId29" Type="http://schemas.openxmlformats.org/officeDocument/2006/relationships/hyperlink" Target="https://doi.org/10.1007/s00181-024-0264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ejor.2017.11.054" TargetMode="External"/><Relationship Id="rId32" Type="http://schemas.openxmlformats.org/officeDocument/2006/relationships/hyperlink" Target="https://doi.org/10.1007/978-3-642-35289-8_5" TargetMode="External"/><Relationship Id="rId37" Type="http://schemas.openxmlformats.org/officeDocument/2006/relationships/hyperlink" Target="https://doi.org/10.1145/944012.944013" TargetMode="External"/><Relationship Id="rId40" Type="http://schemas.openxmlformats.org/officeDocument/2006/relationships/hyperlink" Target="https://doi.org/10.1002/widm.1519"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09/72.279181" TargetMode="External"/><Relationship Id="rId23" Type="http://schemas.openxmlformats.org/officeDocument/2006/relationships/hyperlink" Target="https://doi.org/10.1111/j.1540-6261.1970.tb00518.x" TargetMode="External"/><Relationship Id="rId28" Type="http://schemas.openxmlformats.org/officeDocument/2006/relationships/hyperlink" Target="https://doi.org/10.1145/2628194.2628211" TargetMode="External"/><Relationship Id="rId36" Type="http://schemas.openxmlformats.org/officeDocument/2006/relationships/hyperlink" Target="https://doi.org/10.1145/3711542.3711597" TargetMode="External"/><Relationship Id="rId10" Type="http://schemas.openxmlformats.org/officeDocument/2006/relationships/image" Target="media/image2.png"/><Relationship Id="rId19" Type="http://schemas.openxmlformats.org/officeDocument/2006/relationships/hyperlink" Target="https://doi.org/10.1145/3559540" TargetMode="External"/><Relationship Id="rId31" Type="http://schemas.openxmlformats.org/officeDocument/2006/relationships/hyperlink" Target="https://doi.org/10.1109/IJCNN.2017.796601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139/ssrn.2756815" TargetMode="External"/><Relationship Id="rId22" Type="http://schemas.openxmlformats.org/officeDocument/2006/relationships/hyperlink" Target="https://doi.org/10.2307/1912773" TargetMode="External"/><Relationship Id="rId27" Type="http://schemas.openxmlformats.org/officeDocument/2006/relationships/hyperlink" Target="https://doi.org/10.2307/1914185" TargetMode="External"/><Relationship Id="rId30" Type="http://schemas.openxmlformats.org/officeDocument/2006/relationships/hyperlink" Target="https://doi.org/10.1016/j.econlet.2025.112404" TargetMode="External"/><Relationship Id="rId35" Type="http://schemas.openxmlformats.org/officeDocument/2006/relationships/hyperlink" Target="https://doi.org/10.1186/s40537-020-00333-6" TargetMode="External"/><Relationship Id="rId43" Type="http://schemas.openxmlformats.org/officeDocument/2006/relationships/footer" Target="footer1.xml"/><Relationship Id="rId8" Type="http://schemas.openxmlformats.org/officeDocument/2006/relationships/hyperlink" Target="mailto:alexlas@upatras.g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i.org/10.1109/ICSMC.2006.385244" TargetMode="External"/><Relationship Id="rId25" Type="http://schemas.openxmlformats.org/officeDocument/2006/relationships/hyperlink" Target="https://doi.org/10.1162/neco.1997.9.8.1735" TargetMode="External"/><Relationship Id="rId33" Type="http://schemas.openxmlformats.org/officeDocument/2006/relationships/hyperlink" Target="https://doi.org/10.1108/AJB-08-2022-0124" TargetMode="External"/><Relationship Id="rId38" Type="http://schemas.openxmlformats.org/officeDocument/2006/relationships/hyperlink" Target="https://doi.org/10.2139/ssrn.4328302" TargetMode="External"/><Relationship Id="rId46" Type="http://schemas.openxmlformats.org/officeDocument/2006/relationships/fontTable" Target="fontTable.xml"/><Relationship Id="rId20" Type="http://schemas.openxmlformats.org/officeDocument/2006/relationships/hyperlink" Target="https://doi.org/10.54646/bijiam.2023.12" TargetMode="External"/><Relationship Id="rId41" Type="http://schemas.openxmlformats.org/officeDocument/2006/relationships/hyperlink" Target="https://doi.org/10.1016/j.procs.2019.01.25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x.com/" TargetMode="External"/><Relationship Id="rId1" Type="http://schemas.openxmlformats.org/officeDocument/2006/relationships/hyperlink" Target="https://financ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CCD8-6C20-4B10-A185-86050786E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8080</Words>
  <Characters>43636</Characters>
  <Application>Microsoft Office Word</Application>
  <DocSecurity>0</DocSecurity>
  <Lines>363</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Oladipo</dc:creator>
  <cp:lastModifiedBy>Alexis Lazanas</cp:lastModifiedBy>
  <cp:revision>132</cp:revision>
  <dcterms:created xsi:type="dcterms:W3CDTF">2026-02-03T17:53:00Z</dcterms:created>
  <dcterms:modified xsi:type="dcterms:W3CDTF">2026-02-03T19:33:00Z</dcterms:modified>
</cp:coreProperties>
</file>